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F7A" w:rsidRPr="00DB79A2" w:rsidRDefault="00CF7F7A" w:rsidP="00CF7F7A">
      <w:pPr>
        <w:tabs>
          <w:tab w:val="left" w:pos="709"/>
        </w:tabs>
        <w:spacing w:line="276" w:lineRule="auto"/>
        <w:jc w:val="center"/>
        <w:rPr>
          <w:rFonts w:eastAsia="Calibri"/>
          <w:b/>
          <w:sz w:val="28"/>
        </w:rPr>
      </w:pPr>
      <w:bookmarkStart w:id="0" w:name="_GoBack"/>
      <w:bookmarkEnd w:id="0"/>
      <w:r>
        <w:rPr>
          <w:b/>
          <w:sz w:val="28"/>
        </w:rPr>
        <w:t>ANEXO K</w:t>
      </w:r>
    </w:p>
    <w:p w:rsidR="00B168FA" w:rsidRPr="00DB79A2" w:rsidRDefault="00CF7F7A" w:rsidP="0074131C">
      <w:pPr>
        <w:tabs>
          <w:tab w:val="left" w:pos="709"/>
        </w:tabs>
        <w:spacing w:line="276" w:lineRule="auto"/>
        <w:jc w:val="center"/>
        <w:rPr>
          <w:rFonts w:eastAsia="Calibri"/>
          <w:b/>
          <w:sz w:val="28"/>
        </w:rPr>
      </w:pPr>
      <w:r>
        <w:rPr>
          <w:b/>
          <w:sz w:val="28"/>
        </w:rPr>
        <w:t xml:space="preserve">DIRECTRICES PARA LAS OPCIONES DE COSTES SIMPLIFICADOS </w:t>
      </w:r>
    </w:p>
    <w:p w:rsidR="00CF3686" w:rsidRPr="00DB79A2" w:rsidRDefault="008308FC" w:rsidP="00CF3686">
      <w:pPr>
        <w:tabs>
          <w:tab w:val="left" w:pos="709"/>
        </w:tabs>
        <w:spacing w:line="276" w:lineRule="auto"/>
        <w:jc w:val="center"/>
        <w:rPr>
          <w:rFonts w:eastAsia="Calibri"/>
          <w:b/>
          <w:sz w:val="28"/>
        </w:rPr>
      </w:pPr>
      <w:r>
        <w:rPr>
          <w:b/>
          <w:sz w:val="28"/>
          <w:szCs w:val="22"/>
        </w:rPr>
        <w:t xml:space="preserve">para los CONTRATOS DE SUBVENCIONES financiados por la Unión </w:t>
      </w:r>
      <w:r>
        <w:rPr>
          <w:b/>
          <w:sz w:val="28"/>
          <w:szCs w:val="22"/>
        </w:rPr>
        <w:br/>
      </w:r>
    </w:p>
    <w:p w:rsidR="00CF7F7A" w:rsidRPr="00DB79A2" w:rsidRDefault="00CF7F7A" w:rsidP="00CF7F7A">
      <w:pPr>
        <w:spacing w:before="120" w:after="120"/>
        <w:jc w:val="center"/>
      </w:pPr>
    </w:p>
    <w:p w:rsidR="00DE58E0" w:rsidRPr="004F56B9" w:rsidRDefault="00D63E8E" w:rsidP="00BF439F">
      <w:pPr>
        <w:spacing w:before="120" w:after="120"/>
        <w:jc w:val="both"/>
        <w:rPr>
          <w:b/>
          <w:sz w:val="24"/>
          <w:szCs w:val="24"/>
        </w:rPr>
      </w:pPr>
      <w:r>
        <w:rPr>
          <w:b/>
          <w:sz w:val="24"/>
          <w:szCs w:val="24"/>
        </w:rPr>
        <w:t>1. Introducción</w:t>
      </w:r>
    </w:p>
    <w:p w:rsidR="00875885" w:rsidRPr="00DB79A2" w:rsidRDefault="0033442E" w:rsidP="00BF439F">
      <w:pPr>
        <w:spacing w:before="60" w:after="60"/>
        <w:jc w:val="both"/>
        <w:rPr>
          <w:sz w:val="22"/>
        </w:rPr>
      </w:pPr>
      <w:r>
        <w:rPr>
          <w:sz w:val="22"/>
          <w:szCs w:val="22"/>
        </w:rPr>
        <w:t>P</w:t>
      </w:r>
      <w:r w:rsidRPr="0033442E">
        <w:rPr>
          <w:sz w:val="22"/>
          <w:szCs w:val="22"/>
        </w:rPr>
        <w:t>ara to</w:t>
      </w:r>
      <w:r>
        <w:rPr>
          <w:sz w:val="22"/>
          <w:szCs w:val="22"/>
        </w:rPr>
        <w:t>dos los p</w:t>
      </w:r>
      <w:r w:rsidRPr="0033442E">
        <w:rPr>
          <w:sz w:val="22"/>
          <w:szCs w:val="22"/>
        </w:rPr>
        <w:t>rocedimientos de concesión</w:t>
      </w:r>
      <w:r>
        <w:rPr>
          <w:sz w:val="22"/>
          <w:szCs w:val="22"/>
        </w:rPr>
        <w:t xml:space="preserve"> (</w:t>
      </w:r>
      <w:r w:rsidRPr="0033442E">
        <w:rPr>
          <w:sz w:val="22"/>
          <w:szCs w:val="22"/>
        </w:rPr>
        <w:t>convocatorias de propuestas y concesiones directas</w:t>
      </w:r>
      <w:r>
        <w:rPr>
          <w:sz w:val="22"/>
          <w:szCs w:val="22"/>
        </w:rPr>
        <w:t>)</w:t>
      </w:r>
      <w:r w:rsidR="000130E1">
        <w:rPr>
          <w:sz w:val="22"/>
          <w:szCs w:val="22"/>
        </w:rPr>
        <w:t>, los solicitantes únicamente podrán proponer las OCS siguientes:</w:t>
      </w:r>
    </w:p>
    <w:p w:rsidR="00875885" w:rsidRPr="00DB79A2" w:rsidRDefault="00875885" w:rsidP="00BF439F">
      <w:pPr>
        <w:spacing w:before="60" w:after="60"/>
        <w:ind w:left="567" w:hanging="284"/>
        <w:jc w:val="both"/>
        <w:rPr>
          <w:sz w:val="22"/>
          <w:szCs w:val="22"/>
        </w:rPr>
      </w:pPr>
      <w:r>
        <w:rPr>
          <w:sz w:val="22"/>
          <w:szCs w:val="22"/>
        </w:rPr>
        <w:t>-</w:t>
      </w:r>
      <w:r>
        <w:rPr>
          <w:sz w:val="22"/>
          <w:szCs w:val="22"/>
        </w:rPr>
        <w:tab/>
      </w:r>
      <w:r>
        <w:rPr>
          <w:b/>
          <w:sz w:val="22"/>
          <w:szCs w:val="22"/>
        </w:rPr>
        <w:t>Costes unitarios:</w:t>
      </w:r>
      <w:r>
        <w:rPr>
          <w:sz w:val="22"/>
          <w:szCs w:val="22"/>
        </w:rPr>
        <w:t xml:space="preserve"> abarcan la totalidad, o determinadas categorías específicas, de los costes subvencionables que pueden identificarse claramente (según lo indicado en el presupuesto en la fase de propuesta) y se expresan en </w:t>
      </w:r>
      <w:r>
        <w:rPr>
          <w:sz w:val="22"/>
          <w:szCs w:val="22"/>
          <w:u w:val="single"/>
        </w:rPr>
        <w:t>importes por unidad</w:t>
      </w:r>
      <w:r>
        <w:rPr>
          <w:sz w:val="22"/>
          <w:szCs w:val="22"/>
        </w:rPr>
        <w:t>.</w:t>
      </w:r>
    </w:p>
    <w:p w:rsidR="000130E1" w:rsidRPr="0014353B" w:rsidRDefault="00875885" w:rsidP="00845475">
      <w:pPr>
        <w:ind w:left="1560" w:hanging="851"/>
        <w:jc w:val="both"/>
        <w:rPr>
          <w:i/>
          <w:sz w:val="22"/>
        </w:rPr>
      </w:pPr>
      <w:r>
        <w:rPr>
          <w:i/>
          <w:sz w:val="22"/>
        </w:rPr>
        <w:t>Ejemplo:</w:t>
      </w:r>
      <w:r>
        <w:rPr>
          <w:sz w:val="22"/>
          <w:szCs w:val="22"/>
        </w:rPr>
        <w:t xml:space="preserve"> </w:t>
      </w:r>
      <w:r>
        <w:rPr>
          <w:i/>
          <w:sz w:val="22"/>
        </w:rPr>
        <w:t>el coste unitario por folleto elaborado y entregado a los participantes en el contexto de un seminario;</w:t>
      </w:r>
      <w:r>
        <w:rPr>
          <w:i/>
          <w:sz w:val="22"/>
          <w:szCs w:val="22"/>
        </w:rPr>
        <w:t xml:space="preserve"> </w:t>
      </w:r>
      <w:r>
        <w:rPr>
          <w:i/>
          <w:sz w:val="22"/>
        </w:rPr>
        <w:t xml:space="preserve">los </w:t>
      </w:r>
      <w:r>
        <w:rPr>
          <w:i/>
          <w:sz w:val="22"/>
          <w:szCs w:val="22"/>
        </w:rPr>
        <w:t xml:space="preserve">costes unitarios </w:t>
      </w:r>
      <w:r>
        <w:rPr>
          <w:i/>
          <w:sz w:val="22"/>
        </w:rPr>
        <w:t>del pequeño transporte local u otros gastos en el contexto de actividades específicas como la distribución de una vacuna (a menudo en categorías de gastos con multitud de partidas de pequeño volumen o mal documentadas), etc.</w:t>
      </w:r>
    </w:p>
    <w:p w:rsidR="00875885" w:rsidRPr="00DB79A2" w:rsidRDefault="00875885" w:rsidP="00BF439F">
      <w:pPr>
        <w:spacing w:before="60" w:after="60"/>
        <w:ind w:left="567" w:hanging="284"/>
        <w:jc w:val="both"/>
        <w:rPr>
          <w:sz w:val="22"/>
          <w:szCs w:val="22"/>
        </w:rPr>
      </w:pPr>
      <w:r>
        <w:rPr>
          <w:b/>
          <w:sz w:val="22"/>
          <w:szCs w:val="22"/>
        </w:rPr>
        <w:t>-</w:t>
      </w:r>
      <w:r>
        <w:rPr>
          <w:b/>
          <w:sz w:val="22"/>
          <w:szCs w:val="22"/>
        </w:rPr>
        <w:tab/>
        <w:t xml:space="preserve">Cantidades a tanto alzado: </w:t>
      </w:r>
      <w:r>
        <w:rPr>
          <w:sz w:val="22"/>
          <w:szCs w:val="22"/>
          <w:u w:val="single"/>
        </w:rPr>
        <w:t>en términos globales</w:t>
      </w:r>
      <w:r>
        <w:rPr>
          <w:sz w:val="22"/>
          <w:szCs w:val="22"/>
        </w:rPr>
        <w:t xml:space="preserve"> abarcan la totalidad, o determinadas categorías específicas, de costes subvencionables que pueden identificarse claramente (como se indicaba en el presupuesto en la fase de propuesta).</w:t>
      </w:r>
    </w:p>
    <w:p w:rsidR="00875885" w:rsidRPr="0014353B" w:rsidRDefault="00875885" w:rsidP="00BF439F">
      <w:pPr>
        <w:ind w:left="1560" w:hanging="850"/>
        <w:jc w:val="both"/>
        <w:rPr>
          <w:i/>
          <w:sz w:val="22"/>
          <w:szCs w:val="22"/>
        </w:rPr>
      </w:pPr>
      <w:r>
        <w:rPr>
          <w:i/>
          <w:sz w:val="22"/>
          <w:szCs w:val="22"/>
        </w:rPr>
        <w:t>Ejemplo: el coste global de la organización de un acto inaugural, el coste global de la producción de vídeos informativos, etc.</w:t>
      </w:r>
    </w:p>
    <w:p w:rsidR="00D12A88" w:rsidRPr="00DB79A2" w:rsidRDefault="00875885" w:rsidP="00BF439F">
      <w:pPr>
        <w:spacing w:before="60" w:after="60"/>
        <w:ind w:left="567" w:hanging="284"/>
        <w:jc w:val="both"/>
        <w:rPr>
          <w:sz w:val="22"/>
          <w:szCs w:val="22"/>
        </w:rPr>
      </w:pPr>
      <w:r>
        <w:rPr>
          <w:b/>
          <w:sz w:val="22"/>
          <w:szCs w:val="22"/>
        </w:rPr>
        <w:t>-</w:t>
      </w:r>
      <w:r>
        <w:rPr>
          <w:b/>
          <w:sz w:val="22"/>
          <w:szCs w:val="22"/>
        </w:rPr>
        <w:tab/>
        <w:t>Financiación a tipo fijo:</w:t>
      </w:r>
      <w:r>
        <w:rPr>
          <w:sz w:val="22"/>
          <w:szCs w:val="22"/>
        </w:rPr>
        <w:t xml:space="preserve"> abarca categorías específicas de costes subvencionables que pueden identificarse claramente (como se indicaba en el presupuesto en la fase de propuesta) y se expresan como </w:t>
      </w:r>
      <w:r>
        <w:rPr>
          <w:sz w:val="22"/>
          <w:szCs w:val="22"/>
          <w:u w:val="single"/>
        </w:rPr>
        <w:t>porcentaje</w:t>
      </w:r>
      <w:r>
        <w:rPr>
          <w:sz w:val="22"/>
          <w:szCs w:val="22"/>
        </w:rPr>
        <w:t xml:space="preserve"> de otros costes subvencionables. Téngase en cuenta que la financiación a tipo fijo se basa en los insumos, por lo que los solicitantes</w:t>
      </w:r>
      <w:r w:rsidR="00D15B1A">
        <w:rPr>
          <w:sz w:val="22"/>
          <w:szCs w:val="22"/>
        </w:rPr>
        <w:t xml:space="preserve"> no</w:t>
      </w:r>
      <w:r>
        <w:rPr>
          <w:sz w:val="22"/>
          <w:szCs w:val="22"/>
        </w:rPr>
        <w:t xml:space="preserve"> podrán proponerla</w:t>
      </w:r>
      <w:r w:rsidR="00D15B1A">
        <w:rPr>
          <w:sz w:val="22"/>
          <w:szCs w:val="22"/>
        </w:rPr>
        <w:t>. Sin embargo, puede ser propuesta por co-solicitantes que sean</w:t>
      </w:r>
      <w:r w:rsidR="00D15B1A" w:rsidRPr="00D15B1A">
        <w:rPr>
          <w:sz w:val="22"/>
          <w:szCs w:val="22"/>
        </w:rPr>
        <w:t xml:space="preserve"> entidades evaluadas por pilares</w:t>
      </w:r>
      <w:r w:rsidR="00D15B1A">
        <w:rPr>
          <w:sz w:val="22"/>
          <w:szCs w:val="22"/>
        </w:rPr>
        <w:t xml:space="preserve"> cuando reciban</w:t>
      </w:r>
      <w:r w:rsidR="00D15B1A" w:rsidRPr="00D15B1A">
        <w:rPr>
          <w:sz w:val="22"/>
          <w:szCs w:val="22"/>
        </w:rPr>
        <w:t xml:space="preserve"> subvenciones concedidas directamente sin convocatoria de propuestas</w:t>
      </w:r>
      <w:r w:rsidR="00D15B1A" w:rsidRPr="00D15B1A">
        <w:t xml:space="preserve"> </w:t>
      </w:r>
      <w:r w:rsidR="0051349A">
        <w:rPr>
          <w:sz w:val="22"/>
          <w:szCs w:val="22"/>
        </w:rPr>
        <w:t xml:space="preserve">en </w:t>
      </w:r>
      <w:r w:rsidR="00D15B1A" w:rsidRPr="00D15B1A">
        <w:rPr>
          <w:sz w:val="22"/>
          <w:szCs w:val="22"/>
        </w:rPr>
        <w:t>el marco de</w:t>
      </w:r>
      <w:r w:rsidR="00D15B1A">
        <w:rPr>
          <w:sz w:val="22"/>
          <w:szCs w:val="22"/>
        </w:rPr>
        <w:t xml:space="preserve"> “otras </w:t>
      </w:r>
      <w:r w:rsidR="00D15B1A" w:rsidRPr="00D15B1A">
        <w:rPr>
          <w:sz w:val="22"/>
          <w:szCs w:val="22"/>
        </w:rPr>
        <w:t>opciones de costes simplificados</w:t>
      </w:r>
      <w:r w:rsidR="00D15B1A">
        <w:rPr>
          <w:sz w:val="22"/>
          <w:szCs w:val="22"/>
        </w:rPr>
        <w:t xml:space="preserve">”.  </w:t>
      </w:r>
      <w:r>
        <w:rPr>
          <w:sz w:val="22"/>
          <w:szCs w:val="22"/>
        </w:rPr>
        <w:t xml:space="preserve">  </w:t>
      </w:r>
    </w:p>
    <w:p w:rsidR="00E37EF3" w:rsidRPr="0074131C" w:rsidRDefault="004F56B9" w:rsidP="004F56B9">
      <w:pPr>
        <w:ind w:left="710"/>
        <w:jc w:val="both"/>
        <w:rPr>
          <w:sz w:val="22"/>
          <w:szCs w:val="22"/>
        </w:rPr>
      </w:pPr>
      <w:r>
        <w:rPr>
          <w:b/>
          <w:sz w:val="22"/>
          <w:szCs w:val="22"/>
        </w:rPr>
        <w:sym w:font="Wingdings" w:char="F0E0"/>
      </w:r>
      <w:r>
        <w:t xml:space="preserve"> </w:t>
      </w:r>
      <w:r>
        <w:rPr>
          <w:b/>
          <w:sz w:val="22"/>
          <w:szCs w:val="22"/>
        </w:rPr>
        <w:t xml:space="preserve">Una combinación de estas opciones </w:t>
      </w:r>
    </w:p>
    <w:p w:rsidR="004F56B9" w:rsidRDefault="00875885" w:rsidP="00CC0FD4">
      <w:pPr>
        <w:spacing w:before="60" w:after="60"/>
        <w:jc w:val="both"/>
        <w:rPr>
          <w:sz w:val="22"/>
          <w:szCs w:val="22"/>
        </w:rPr>
      </w:pPr>
      <w:r>
        <w:rPr>
          <w:sz w:val="22"/>
          <w:szCs w:val="22"/>
        </w:rPr>
        <w:t>Las opciones de costes simplificados pueden aplicarse a una o varias partidas de costes directos del presupuesto (es decir, rúbricas 1 a 6), o a subrúbricas de costes, o a algunos elementos específicos de costes dentro de estas rúbricas.</w:t>
      </w:r>
    </w:p>
    <w:p w:rsidR="00F96173" w:rsidRDefault="00F96173" w:rsidP="00CC0FD4">
      <w:pPr>
        <w:spacing w:before="60" w:after="60"/>
        <w:jc w:val="both"/>
        <w:rPr>
          <w:sz w:val="22"/>
          <w:szCs w:val="22"/>
        </w:rPr>
      </w:pPr>
    </w:p>
    <w:p w:rsidR="00D15B1A" w:rsidRDefault="00F96173" w:rsidP="00F96173">
      <w:pPr>
        <w:spacing w:after="200"/>
        <w:jc w:val="both"/>
        <w:rPr>
          <w:snapToGrid w:val="0"/>
          <w:sz w:val="22"/>
        </w:rPr>
      </w:pPr>
      <w:r>
        <w:rPr>
          <w:snapToGrid w:val="0"/>
          <w:sz w:val="22"/>
        </w:rPr>
        <w:t xml:space="preserve">Las opciones de costes simplificados (OCS) </w:t>
      </w:r>
      <w:r w:rsidR="007B6AEC" w:rsidRPr="007B6AEC">
        <w:rPr>
          <w:sz w:val="22"/>
          <w:szCs w:val="22"/>
        </w:rPr>
        <w:t>que pueden proponerse</w:t>
      </w:r>
      <w:r w:rsidR="00D15B1A">
        <w:rPr>
          <w:sz w:val="22"/>
          <w:szCs w:val="22"/>
        </w:rPr>
        <w:t xml:space="preserve"> por </w:t>
      </w:r>
      <w:r w:rsidR="00D15B1A" w:rsidRPr="00D15B1A">
        <w:rPr>
          <w:sz w:val="22"/>
          <w:szCs w:val="22"/>
        </w:rPr>
        <w:t xml:space="preserve">las entidades </w:t>
      </w:r>
      <w:r w:rsidR="00D15B1A">
        <w:rPr>
          <w:sz w:val="22"/>
          <w:szCs w:val="22"/>
        </w:rPr>
        <w:t xml:space="preserve">no </w:t>
      </w:r>
      <w:r w:rsidR="00D15B1A" w:rsidRPr="00D15B1A">
        <w:rPr>
          <w:sz w:val="22"/>
          <w:szCs w:val="22"/>
        </w:rPr>
        <w:t>evaluadas por pilares</w:t>
      </w:r>
      <w:r w:rsidR="007B6AEC" w:rsidRPr="007B6AEC">
        <w:rPr>
          <w:sz w:val="22"/>
          <w:szCs w:val="22"/>
        </w:rPr>
        <w:t xml:space="preserve"> son </w:t>
      </w:r>
      <w:r>
        <w:rPr>
          <w:snapToGrid w:val="0"/>
          <w:sz w:val="22"/>
        </w:rPr>
        <w:t>«OCS basadas en productos o resultados»</w:t>
      </w:r>
      <w:r w:rsidR="00665F9A">
        <w:rPr>
          <w:snapToGrid w:val="0"/>
          <w:sz w:val="22"/>
        </w:rPr>
        <w:t>.</w:t>
      </w:r>
      <w:r>
        <w:rPr>
          <w:snapToGrid w:val="0"/>
          <w:sz w:val="22"/>
        </w:rPr>
        <w:t xml:space="preserve"> </w:t>
      </w:r>
      <w:r w:rsidR="00665F9A">
        <w:rPr>
          <w:snapToGrid w:val="0"/>
          <w:sz w:val="22"/>
        </w:rPr>
        <w:t>E</w:t>
      </w:r>
      <w:r>
        <w:rPr>
          <w:snapToGrid w:val="0"/>
          <w:sz w:val="22"/>
        </w:rPr>
        <w:t xml:space="preserve">sta categoría incluye los costes vinculados a productos, resultados, actividades o entregables en el marco de un proyecto específico (por ejemplo, la determinación de una cantidad a tanto alzado para la organización de una conferencia o para la producción o el desarrollo de una determinada realización o actividad). Cuando sea posible y oportuno, las cantidades a tanto alzado o los costes unitarios se determinarán de manera que pueda procederse a su pago tras el logro de productos o resultados concretos. </w:t>
      </w:r>
    </w:p>
    <w:p w:rsidR="00D15B1A" w:rsidRDefault="00F96173" w:rsidP="00F96173">
      <w:pPr>
        <w:spacing w:after="200"/>
        <w:jc w:val="both"/>
        <w:rPr>
          <w:snapToGrid w:val="0"/>
          <w:sz w:val="22"/>
        </w:rPr>
      </w:pPr>
      <w:r>
        <w:rPr>
          <w:snapToGrid w:val="0"/>
          <w:sz w:val="22"/>
        </w:rPr>
        <w:t>La financiación a tipo fijo no puede utilizarse para las OCS basadas en productos o resultados</w:t>
      </w:r>
      <w:r w:rsidR="00D15B1A">
        <w:rPr>
          <w:snapToGrid w:val="0"/>
          <w:sz w:val="22"/>
        </w:rPr>
        <w:t xml:space="preserve">, </w:t>
      </w:r>
      <w:r w:rsidR="00665F9A">
        <w:rPr>
          <w:snapToGrid w:val="0"/>
          <w:sz w:val="22"/>
        </w:rPr>
        <w:t>sino solamente</w:t>
      </w:r>
      <w:r w:rsidR="00D15B1A">
        <w:rPr>
          <w:snapToGrid w:val="0"/>
          <w:sz w:val="22"/>
        </w:rPr>
        <w:t xml:space="preserve"> en el marco de “otras </w:t>
      </w:r>
      <w:r w:rsidR="00D15B1A" w:rsidRPr="00D15B1A">
        <w:rPr>
          <w:snapToGrid w:val="0"/>
          <w:sz w:val="22"/>
        </w:rPr>
        <w:t>opciones de costes simplificados</w:t>
      </w:r>
      <w:r w:rsidR="00D15B1A">
        <w:rPr>
          <w:snapToGrid w:val="0"/>
          <w:sz w:val="22"/>
        </w:rPr>
        <w:t>”</w:t>
      </w:r>
      <w:r>
        <w:rPr>
          <w:snapToGrid w:val="0"/>
          <w:sz w:val="22"/>
        </w:rPr>
        <w:t>.</w:t>
      </w:r>
    </w:p>
    <w:p w:rsidR="00F96173" w:rsidRPr="006E6FE4" w:rsidRDefault="00F96173" w:rsidP="00F96173">
      <w:pPr>
        <w:spacing w:after="200"/>
        <w:jc w:val="both"/>
        <w:rPr>
          <w:snapToGrid w:val="0"/>
          <w:sz w:val="22"/>
        </w:rPr>
      </w:pPr>
      <w:r>
        <w:rPr>
          <w:snapToGrid w:val="0"/>
          <w:sz w:val="22"/>
        </w:rPr>
        <w:t>El beneficiario podrá proponer las OCS basadas en productos (sin umbrales aplicables) en la fase de propuesta (Formulario de solicitud de subvención – Solicitud completa). En caso de que el Comité de Evaluación y el Órgano de Contratación no estén satisfechos con la calidad de la justificación aportada, siempre podrá optarse por el reembolso sobre la base de los costes realmente contraídos.</w:t>
      </w:r>
    </w:p>
    <w:p w:rsidR="00F96173" w:rsidRDefault="00FD0D13" w:rsidP="00F96173">
      <w:pPr>
        <w:spacing w:before="120" w:after="120"/>
        <w:jc w:val="both"/>
        <w:rPr>
          <w:sz w:val="22"/>
          <w:szCs w:val="22"/>
        </w:rPr>
      </w:pPr>
      <w:r>
        <w:rPr>
          <w:sz w:val="22"/>
          <w:szCs w:val="22"/>
        </w:rPr>
        <w:lastRenderedPageBreak/>
        <w:t>En la fase de solicitud completa, los solicitantes podrán proponer opciones de costes simplificados</w:t>
      </w:r>
      <w:r w:rsidR="00F26509">
        <w:rPr>
          <w:rStyle w:val="FootnoteReference"/>
          <w:sz w:val="22"/>
          <w:szCs w:val="22"/>
        </w:rPr>
        <w:footnoteReference w:id="2"/>
      </w:r>
      <w:r>
        <w:rPr>
          <w:sz w:val="22"/>
          <w:szCs w:val="22"/>
        </w:rPr>
        <w:t xml:space="preserve">. El Comité de Evaluación y el Órgano de Contratación decidirán si dichos costes pueden aceptarse en la fase de contratación, basándose en el presupuesto presentado. El Órgano de Contratación basará su decisión en un análisis del presupuesto presentado sobre la base de las condiciones previstas en las presentes directrices. </w:t>
      </w:r>
      <w:r w:rsidR="00347873">
        <w:rPr>
          <w:sz w:val="22"/>
          <w:szCs w:val="22"/>
        </w:rPr>
        <w:t xml:space="preserve">Tenga en cuenta </w:t>
      </w:r>
      <w:r w:rsidR="0033442E" w:rsidRPr="0033442E">
        <w:rPr>
          <w:sz w:val="22"/>
          <w:szCs w:val="22"/>
        </w:rPr>
        <w:t xml:space="preserve">que, en caso de las concesiones </w:t>
      </w:r>
      <w:r w:rsidR="003D36E0" w:rsidRPr="003D36E0">
        <w:rPr>
          <w:sz w:val="22"/>
          <w:szCs w:val="22"/>
        </w:rPr>
        <w:t>concedidas directamente sin convocatoria de propuestas</w:t>
      </w:r>
      <w:r w:rsidR="0033442E" w:rsidRPr="0033442E">
        <w:rPr>
          <w:sz w:val="22"/>
          <w:szCs w:val="22"/>
        </w:rPr>
        <w:t>, las opciones de costes simplificados basadas en realizaciones o resultados, puede</w:t>
      </w:r>
      <w:r w:rsidR="00347873">
        <w:rPr>
          <w:sz w:val="22"/>
          <w:szCs w:val="22"/>
        </w:rPr>
        <w:t>n</w:t>
      </w:r>
      <w:r w:rsidR="0033442E" w:rsidRPr="0033442E">
        <w:rPr>
          <w:sz w:val="22"/>
          <w:szCs w:val="22"/>
        </w:rPr>
        <w:t xml:space="preserve"> ser admisible</w:t>
      </w:r>
      <w:r w:rsidR="00347873">
        <w:rPr>
          <w:sz w:val="22"/>
          <w:szCs w:val="22"/>
        </w:rPr>
        <w:t>s</w:t>
      </w:r>
      <w:r w:rsidR="0033442E" w:rsidRPr="0033442E">
        <w:rPr>
          <w:sz w:val="22"/>
          <w:szCs w:val="22"/>
        </w:rPr>
        <w:t xml:space="preserve"> solo si se ha designado un comité de evaluación.</w:t>
      </w:r>
    </w:p>
    <w:p w:rsidR="00F96173" w:rsidRDefault="00F96173" w:rsidP="00F96173">
      <w:pPr>
        <w:spacing w:before="120" w:after="120"/>
        <w:jc w:val="both"/>
        <w:rPr>
          <w:sz w:val="22"/>
          <w:szCs w:val="22"/>
        </w:rPr>
      </w:pPr>
      <w:r>
        <w:rPr>
          <w:sz w:val="22"/>
          <w:szCs w:val="22"/>
        </w:rPr>
        <w:t>En caso de que el Comité de Evaluación y el Órgano de Contratación no estén satisfechos con la calidad de la justificación aportada, siempre podrá optarse por el reembolso sobre la base de los costes realmente contraídos. En tal caso, el presupuesto se adaptará en consecuencia.</w:t>
      </w:r>
    </w:p>
    <w:p w:rsidR="00681073" w:rsidRDefault="00681073" w:rsidP="00A30DCC">
      <w:pPr>
        <w:spacing w:before="120" w:after="120"/>
        <w:jc w:val="both"/>
        <w:rPr>
          <w:sz w:val="22"/>
          <w:szCs w:val="22"/>
        </w:rPr>
      </w:pPr>
    </w:p>
    <w:p w:rsidR="00A41D32" w:rsidRDefault="007B6AEC" w:rsidP="007B6AEC">
      <w:pPr>
        <w:spacing w:before="120" w:after="120"/>
        <w:jc w:val="both"/>
        <w:rPr>
          <w:b/>
          <w:sz w:val="22"/>
          <w:szCs w:val="22"/>
        </w:rPr>
      </w:pPr>
      <w:r>
        <w:rPr>
          <w:b/>
          <w:sz w:val="22"/>
          <w:szCs w:val="22"/>
        </w:rPr>
        <w:t xml:space="preserve">2. </w:t>
      </w:r>
      <w:r w:rsidR="0074131C">
        <w:rPr>
          <w:b/>
          <w:sz w:val="22"/>
          <w:szCs w:val="22"/>
        </w:rPr>
        <w:t xml:space="preserve"> Disposiciones aplicables a OCS basadas en productos o resultados:</w:t>
      </w:r>
    </w:p>
    <w:p w:rsidR="00F26509" w:rsidRPr="00F26509" w:rsidRDefault="00F26509" w:rsidP="008308FC">
      <w:pPr>
        <w:spacing w:before="120" w:after="120"/>
        <w:ind w:left="57" w:hanging="284"/>
        <w:jc w:val="both"/>
        <w:rPr>
          <w:sz w:val="22"/>
          <w:szCs w:val="22"/>
        </w:rPr>
      </w:pPr>
      <w:r>
        <w:rPr>
          <w:sz w:val="22"/>
          <w:szCs w:val="22"/>
        </w:rPr>
        <w:t xml:space="preserve">- Una vez evaluados y aprobados los importes de los costes simplificados por el Comité de Evaluación y por el Órgano de Contratación (como se especifica en el presupuesto de la acción), tales costes no serán sometidos a una comprobación </w:t>
      </w:r>
      <w:r>
        <w:rPr>
          <w:i/>
          <w:iCs/>
          <w:sz w:val="22"/>
          <w:szCs w:val="22"/>
        </w:rPr>
        <w:t>a posteriori</w:t>
      </w:r>
      <w:r>
        <w:rPr>
          <w:sz w:val="22"/>
          <w:szCs w:val="22"/>
        </w:rPr>
        <w:t xml:space="preserve"> de los datos reales referentes a los costes. Es decir, no se pedirá a los auditores que comprueben los justificantes para establecer los costes realmente soportados, sino que verificarán la aplicación correcta del método y la fórmula para el cálculo de los costes basados en los insumos relacionados y la información cuantitativa y cualitativa pertinente.</w:t>
      </w:r>
    </w:p>
    <w:p w:rsidR="00F26509" w:rsidRPr="00F26509" w:rsidRDefault="00F26509" w:rsidP="008308FC">
      <w:pPr>
        <w:spacing w:before="120" w:after="120"/>
        <w:ind w:left="114" w:hanging="284"/>
        <w:jc w:val="both"/>
        <w:rPr>
          <w:sz w:val="22"/>
          <w:szCs w:val="22"/>
        </w:rPr>
      </w:pPr>
      <w:r>
        <w:rPr>
          <w:sz w:val="22"/>
          <w:szCs w:val="22"/>
        </w:rPr>
        <w:t>- Los beneficiarios deberán conservar registros y documentación adecuados que acrediten que los costes se han declarado con arreglo al método y fórmula acordados y que se han respetado las condiciones cualitativas y cuantitativas.</w:t>
      </w:r>
    </w:p>
    <w:p w:rsidR="00F26509" w:rsidRPr="00F26509" w:rsidRDefault="00F26509" w:rsidP="008308FC">
      <w:pPr>
        <w:spacing w:before="120" w:after="120"/>
        <w:ind w:left="114" w:hanging="284"/>
        <w:jc w:val="both"/>
        <w:rPr>
          <w:sz w:val="22"/>
          <w:szCs w:val="22"/>
        </w:rPr>
      </w:pPr>
      <w:r>
        <w:rPr>
          <w:sz w:val="22"/>
          <w:szCs w:val="22"/>
        </w:rPr>
        <w:t>- Si una inspección o una auditoría ponen de manifiesto que los métodos de cálculo utilizados por los beneficiarios o por sus entidades afiliadas para determinar los costes unitarios</w:t>
      </w:r>
      <w:r w:rsidR="003D36E0">
        <w:rPr>
          <w:sz w:val="22"/>
          <w:szCs w:val="22"/>
        </w:rPr>
        <w:t xml:space="preserve"> </w:t>
      </w:r>
      <w:r w:rsidR="00665F9A">
        <w:rPr>
          <w:sz w:val="22"/>
          <w:szCs w:val="22"/>
        </w:rPr>
        <w:t>y</w:t>
      </w:r>
      <w:r>
        <w:rPr>
          <w:sz w:val="22"/>
          <w:szCs w:val="22"/>
        </w:rPr>
        <w:t xml:space="preserve"> las cantidades a tanto alzado no satisfacen las condiciones establecidas o la información objetiva (p. ej., no se han producido los hechos generadores), el Órgano de Contratación podrá decidir que se trata de costes no subvencionables y recuperar hasta la totalidad de la suma correspondiente a las opciones de costes simplificados utilizadas.</w:t>
      </w:r>
    </w:p>
    <w:p w:rsidR="00262C0E" w:rsidRPr="00DB79A2" w:rsidRDefault="001B007E" w:rsidP="0074131C">
      <w:pPr>
        <w:spacing w:before="120" w:after="120"/>
        <w:ind w:left="284" w:hanging="284"/>
        <w:jc w:val="both"/>
        <w:rPr>
          <w:sz w:val="22"/>
          <w:szCs w:val="22"/>
        </w:rPr>
      </w:pPr>
      <w:r>
        <w:rPr>
          <w:b/>
          <w:sz w:val="22"/>
          <w:szCs w:val="22"/>
        </w:rPr>
        <w:t>Ejemplo de presupuesto para una acción con algunas OCS basadas en productos:</w:t>
      </w:r>
    </w:p>
    <w:p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Pr>
          <w:b/>
          <w:u w:val="single"/>
        </w:rPr>
        <w:t xml:space="preserve">NOTA: Información que debe figurar en el presupuesto de la acción en el caso de opciones de costes simplificados </w:t>
      </w:r>
    </w:p>
    <w:p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Pr>
          <w:sz w:val="22"/>
          <w:szCs w:val="22"/>
        </w:rPr>
        <w:t>Los solicitantes que propongan opciones de costes simplificados basadas en productos o resultados deberán indicar claramente en la primera ficha de trabajo del presupuesto de la acción cada rúbrica/partida</w:t>
      </w:r>
      <w:r w:rsidR="00F61971" w:rsidRPr="00DB79A2">
        <w:rPr>
          <w:rStyle w:val="FootnoteReference"/>
          <w:szCs w:val="22"/>
        </w:rPr>
        <w:footnoteReference w:id="3"/>
      </w:r>
      <w:r>
        <w:rPr>
          <w:sz w:val="22"/>
          <w:szCs w:val="22"/>
        </w:rPr>
        <w:t xml:space="preserve"> de costes elegibles afectada por este tipo de financiación, es decir, especificar en mayúsculas «COSTE UNITARIO» (por producto, actividad, etc.) o «CANTIDAD A TANTO ALZADO» en la columna «Unidad», como se muestra en el ejemplo que figura a continuación. </w:t>
      </w:r>
    </w:p>
    <w:p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2149"/>
        <w:gridCol w:w="4799"/>
        <w:gridCol w:w="1544"/>
        <w:gridCol w:w="905"/>
        <w:gridCol w:w="866"/>
      </w:tblGrid>
      <w:tr w:rsidR="00262C0E" w:rsidRPr="00B344FC" w:rsidTr="00A61E0B">
        <w:trPr>
          <w:trHeight w:val="480"/>
        </w:trPr>
        <w:tc>
          <w:tcPr>
            <w:tcW w:w="1436" w:type="pct"/>
            <w:tcBorders>
              <w:top w:val="single" w:sz="8" w:space="0" w:color="auto"/>
              <w:left w:val="single" w:sz="8" w:space="0" w:color="auto"/>
              <w:bottom w:val="single" w:sz="8" w:space="0" w:color="auto"/>
              <w:right w:val="nil"/>
            </w:tcBorders>
            <w:shd w:val="clear" w:color="auto" w:fill="BFBFBF"/>
            <w:hideMark/>
          </w:tcPr>
          <w:p w:rsidR="00262C0E" w:rsidRPr="00B344FC" w:rsidRDefault="00262C0E" w:rsidP="00DB79A2">
            <w:pPr>
              <w:jc w:val="center"/>
              <w:rPr>
                <w:b/>
              </w:rPr>
            </w:pPr>
            <w:r>
              <w:rPr>
                <w:b/>
                <w:bCs/>
              </w:rPr>
              <w:t xml:space="preserve"> </w:t>
            </w:r>
            <w:r>
              <w:rPr>
                <w:b/>
              </w:rPr>
              <w:t>Presupuesto de la acción</w:t>
            </w:r>
          </w:p>
        </w:tc>
        <w:tc>
          <w:tcPr>
            <w:tcW w:w="3564"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rsidR="00262C0E" w:rsidRPr="00B344FC" w:rsidRDefault="00262C0E" w:rsidP="00DB79A2">
            <w:pPr>
              <w:jc w:val="center"/>
              <w:rPr>
                <w:b/>
              </w:rPr>
            </w:pPr>
            <w:r>
              <w:rPr>
                <w:b/>
              </w:rPr>
              <w:t>Todos los años</w:t>
            </w:r>
          </w:p>
        </w:tc>
      </w:tr>
      <w:tr w:rsidR="007D7560" w:rsidRPr="00B344FC" w:rsidTr="00A61E0B">
        <w:trPr>
          <w:trHeight w:val="736"/>
        </w:trPr>
        <w:tc>
          <w:tcPr>
            <w:tcW w:w="1436" w:type="pct"/>
            <w:tcBorders>
              <w:top w:val="single" w:sz="8" w:space="0" w:color="auto"/>
              <w:left w:val="single" w:sz="8" w:space="0" w:color="auto"/>
              <w:bottom w:val="single" w:sz="4" w:space="0" w:color="auto"/>
              <w:right w:val="single" w:sz="4" w:space="0" w:color="auto"/>
            </w:tcBorders>
            <w:shd w:val="clear" w:color="000000" w:fill="C0C0C0"/>
            <w:vAlign w:val="center"/>
            <w:hideMark/>
          </w:tcPr>
          <w:p w:rsidR="00262C0E" w:rsidRPr="00B344FC" w:rsidRDefault="00262C0E" w:rsidP="008308FC">
            <w:pPr>
              <w:jc w:val="center"/>
              <w:rPr>
                <w:b/>
              </w:rPr>
            </w:pPr>
            <w:r>
              <w:rPr>
                <w:b/>
              </w:rPr>
              <w:t>Costes</w:t>
            </w:r>
          </w:p>
        </w:tc>
        <w:tc>
          <w:tcPr>
            <w:tcW w:w="2000" w:type="pct"/>
            <w:tcBorders>
              <w:top w:val="nil"/>
              <w:left w:val="nil"/>
              <w:bottom w:val="single" w:sz="4" w:space="0" w:color="auto"/>
              <w:right w:val="single" w:sz="4" w:space="0" w:color="auto"/>
            </w:tcBorders>
            <w:shd w:val="clear" w:color="000000" w:fill="C0C0C0"/>
            <w:noWrap/>
            <w:hideMark/>
          </w:tcPr>
          <w:p w:rsidR="008308FC" w:rsidRDefault="008308FC" w:rsidP="008308FC">
            <w:pPr>
              <w:jc w:val="center"/>
              <w:rPr>
                <w:b/>
              </w:rPr>
            </w:pPr>
            <w:r>
              <w:rPr>
                <w:b/>
              </w:rPr>
              <w:br/>
            </w:r>
          </w:p>
          <w:p w:rsidR="00262C0E" w:rsidRPr="00B344FC" w:rsidRDefault="00262C0E" w:rsidP="008308FC">
            <w:pPr>
              <w:jc w:val="center"/>
              <w:rPr>
                <w:b/>
              </w:rPr>
            </w:pPr>
            <w:r>
              <w:rPr>
                <w:b/>
              </w:rPr>
              <w:t>Unidad</w:t>
            </w:r>
          </w:p>
        </w:tc>
        <w:tc>
          <w:tcPr>
            <w:tcW w:w="542" w:type="pct"/>
            <w:tcBorders>
              <w:top w:val="nil"/>
              <w:left w:val="nil"/>
              <w:bottom w:val="single" w:sz="4" w:space="0" w:color="auto"/>
              <w:right w:val="single" w:sz="4" w:space="0" w:color="auto"/>
            </w:tcBorders>
            <w:shd w:val="clear" w:color="000000" w:fill="C0C0C0"/>
            <w:noWrap/>
            <w:hideMark/>
          </w:tcPr>
          <w:p w:rsidR="00262C0E" w:rsidRPr="00B344FC" w:rsidRDefault="00262C0E" w:rsidP="008308FC">
            <w:pPr>
              <w:jc w:val="center"/>
              <w:rPr>
                <w:b/>
              </w:rPr>
            </w:pPr>
            <w:r>
              <w:rPr>
                <w:b/>
              </w:rPr>
              <w:t>N.º de unidades</w:t>
            </w:r>
          </w:p>
        </w:tc>
        <w:tc>
          <w:tcPr>
            <w:tcW w:w="385" w:type="pct"/>
            <w:tcBorders>
              <w:top w:val="nil"/>
              <w:left w:val="nil"/>
              <w:bottom w:val="single" w:sz="4" w:space="0" w:color="auto"/>
              <w:right w:val="single" w:sz="4" w:space="0" w:color="auto"/>
            </w:tcBorders>
            <w:shd w:val="clear" w:color="000000" w:fill="C0C0C0"/>
            <w:hideMark/>
          </w:tcPr>
          <w:p w:rsidR="00262C0E" w:rsidRPr="00B344FC" w:rsidRDefault="00262C0E" w:rsidP="008308FC">
            <w:pPr>
              <w:jc w:val="center"/>
              <w:rPr>
                <w:b/>
              </w:rPr>
            </w:pPr>
            <w:r>
              <w:rPr>
                <w:b/>
              </w:rPr>
              <w:t xml:space="preserve">Valor unitario </w:t>
            </w:r>
            <w:r>
              <w:rPr>
                <w:b/>
              </w:rPr>
              <w:br/>
              <w:t>(en EUR)</w:t>
            </w:r>
          </w:p>
        </w:tc>
        <w:tc>
          <w:tcPr>
            <w:tcW w:w="637" w:type="pct"/>
            <w:tcBorders>
              <w:top w:val="nil"/>
              <w:left w:val="nil"/>
              <w:bottom w:val="single" w:sz="4" w:space="0" w:color="auto"/>
              <w:right w:val="single" w:sz="8" w:space="0" w:color="auto"/>
            </w:tcBorders>
            <w:shd w:val="clear" w:color="000000" w:fill="C0C0C0"/>
            <w:hideMark/>
          </w:tcPr>
          <w:p w:rsidR="00262C0E" w:rsidRPr="00B344FC" w:rsidRDefault="00262C0E" w:rsidP="008308FC">
            <w:pPr>
              <w:jc w:val="center"/>
              <w:rPr>
                <w:b/>
              </w:rPr>
            </w:pPr>
            <w:r>
              <w:rPr>
                <w:b/>
              </w:rPr>
              <w:t>Costes</w:t>
            </w:r>
            <w:r>
              <w:rPr>
                <w:b/>
              </w:rPr>
              <w:br/>
              <w:t>(en EUR)</w:t>
            </w:r>
          </w:p>
        </w:tc>
      </w:tr>
      <w:tr w:rsidR="00262C0E"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Pr>
                <w:b/>
              </w:rPr>
              <w:lastRenderedPageBreak/>
              <w:t>1.</w:t>
            </w:r>
            <w:r>
              <w:rPr>
                <w:b/>
                <w:bCs/>
              </w:rPr>
              <w:t xml:space="preserve"> </w:t>
            </w:r>
            <w:r>
              <w:rPr>
                <w:b/>
              </w:rPr>
              <w:t>Recursos humanos</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rPr>
                <w:b/>
              </w:rPr>
            </w:pPr>
            <w:r>
              <w:rPr>
                <w:b/>
                <w:bCs/>
              </w:rPr>
              <w:t> </w:t>
            </w: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DB79A2">
            <w:pPr>
              <w:rPr>
                <w:b/>
              </w:rPr>
            </w:pPr>
            <w:r>
              <w:rPr>
                <w:b/>
              </w:rPr>
              <w:t> </w:t>
            </w:r>
          </w:p>
        </w:tc>
      </w:tr>
      <w:tr w:rsidR="00262C0E" w:rsidRPr="00B344FC" w:rsidTr="00A61E0B">
        <w:trPr>
          <w:trHeight w:val="992"/>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1.1 Salarios (salarios brutos, incluidas las cotizaciones a la seguridad social y otros costes conexos, personal local)</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t> </w:t>
            </w: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w:t>
            </w:r>
          </w:p>
        </w:tc>
      </w:tr>
      <w:tr w:rsidR="00262C0E"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 xml:space="preserve">   1.1.1 Personal técnico</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C23EE">
            <w:pPr>
              <w:jc w:val="right"/>
            </w:pPr>
            <w:r>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7C23EE">
            <w:pPr>
              <w:jc w:val="right"/>
            </w:pPr>
            <w:r>
              <w:t> </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tcPr>
          <w:p w:rsidR="00884E9C" w:rsidRPr="00B344FC" w:rsidRDefault="00884E9C" w:rsidP="00884E9C">
            <w:r>
              <w:t>1.1.1.1 Gestores de eventos encargados de organizar la conferencia final</w:t>
            </w:r>
          </w:p>
        </w:tc>
        <w:tc>
          <w:tcPr>
            <w:tcW w:w="2000" w:type="pct"/>
            <w:tcBorders>
              <w:top w:val="nil"/>
              <w:left w:val="nil"/>
              <w:bottom w:val="single" w:sz="4" w:space="0" w:color="auto"/>
              <w:right w:val="single" w:sz="4" w:space="0" w:color="auto"/>
            </w:tcBorders>
            <w:shd w:val="clear" w:color="auto" w:fill="auto"/>
            <w:noWrap/>
            <w:vAlign w:val="bottom"/>
          </w:tcPr>
          <w:p w:rsidR="00884E9C" w:rsidRPr="001B007E" w:rsidDel="00D12A88" w:rsidRDefault="00884E9C" w:rsidP="00884E9C">
            <w:pPr>
              <w:jc w:val="center"/>
            </w:pPr>
            <w:r>
              <w:rPr>
                <w:b/>
                <w:bCs/>
              </w:rPr>
              <w:t>COSTE UNITARIO</w:t>
            </w:r>
            <w:r>
              <w:t xml:space="preserve"> (por organización de conferencias)</w:t>
            </w:r>
          </w:p>
        </w:tc>
        <w:tc>
          <w:tcPr>
            <w:tcW w:w="542" w:type="pct"/>
            <w:tcBorders>
              <w:top w:val="nil"/>
              <w:left w:val="nil"/>
              <w:bottom w:val="single" w:sz="4" w:space="0" w:color="auto"/>
              <w:right w:val="single" w:sz="4" w:space="0" w:color="auto"/>
            </w:tcBorders>
            <w:shd w:val="clear" w:color="auto" w:fill="auto"/>
            <w:noWrap/>
            <w:vAlign w:val="bottom"/>
          </w:tcPr>
          <w:p w:rsidR="00884E9C" w:rsidRPr="00B344FC" w:rsidDel="00D12A88" w:rsidRDefault="00884E9C" w:rsidP="00884E9C">
            <w:pPr>
              <w:jc w:val="center"/>
            </w:pPr>
            <w:r>
              <w:t>3</w:t>
            </w:r>
          </w:p>
        </w:tc>
        <w:tc>
          <w:tcPr>
            <w:tcW w:w="385" w:type="pct"/>
            <w:tcBorders>
              <w:top w:val="nil"/>
              <w:left w:val="nil"/>
              <w:bottom w:val="single" w:sz="4" w:space="0" w:color="auto"/>
              <w:right w:val="single" w:sz="4" w:space="0" w:color="auto"/>
            </w:tcBorders>
            <w:shd w:val="clear" w:color="auto" w:fill="auto"/>
            <w:noWrap/>
            <w:vAlign w:val="bottom"/>
          </w:tcPr>
          <w:p w:rsidR="00884E9C" w:rsidRPr="00B344FC" w:rsidDel="00671EE9" w:rsidRDefault="00884E9C" w:rsidP="00884E9C">
            <w:pPr>
              <w:jc w:val="right"/>
            </w:pPr>
            <w:r>
              <w:t>3 500</w:t>
            </w:r>
          </w:p>
        </w:tc>
        <w:tc>
          <w:tcPr>
            <w:tcW w:w="637" w:type="pct"/>
            <w:tcBorders>
              <w:top w:val="nil"/>
              <w:left w:val="nil"/>
              <w:bottom w:val="single" w:sz="4" w:space="0" w:color="auto"/>
              <w:right w:val="single" w:sz="8" w:space="0" w:color="auto"/>
            </w:tcBorders>
            <w:shd w:val="clear" w:color="auto" w:fill="auto"/>
            <w:noWrap/>
            <w:vAlign w:val="bottom"/>
          </w:tcPr>
          <w:p w:rsidR="00884E9C" w:rsidRPr="00B344FC" w:rsidRDefault="00884E9C" w:rsidP="00795AB4">
            <w:pPr>
              <w:jc w:val="center"/>
            </w:pPr>
            <w:r>
              <w:t>10 500</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t xml:space="preserve">   1.1.2 Personal administrativo y de apoyo</w:t>
            </w:r>
          </w:p>
        </w:tc>
        <w:tc>
          <w:tcPr>
            <w:tcW w:w="2000" w:type="pct"/>
            <w:tcBorders>
              <w:top w:val="nil"/>
              <w:left w:val="nil"/>
              <w:bottom w:val="single" w:sz="4" w:space="0" w:color="auto"/>
              <w:right w:val="single" w:sz="4" w:space="0" w:color="auto"/>
            </w:tcBorders>
            <w:shd w:val="clear" w:color="auto" w:fill="auto"/>
            <w:noWrap/>
            <w:vAlign w:val="bottom"/>
          </w:tcPr>
          <w:p w:rsidR="00884E9C" w:rsidRPr="00B344FC" w:rsidRDefault="00884E9C" w:rsidP="00884E9C">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p>
        </w:tc>
      </w:tr>
      <w:tr w:rsidR="00884E9C" w:rsidRPr="00B344FC"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rsidR="00884E9C" w:rsidRPr="00B344FC" w:rsidRDefault="00884E9C" w:rsidP="00884E9C">
            <w:pPr>
              <w:rPr>
                <w:b/>
                <w:i/>
              </w:rPr>
            </w:pPr>
            <w:r>
              <w:rPr>
                <w:b/>
                <w:i/>
              </w:rPr>
              <w:t>Subtotal «Recursos humanos»</w:t>
            </w:r>
          </w:p>
        </w:tc>
        <w:tc>
          <w:tcPr>
            <w:tcW w:w="2000"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r>
              <w:rPr>
                <w:b/>
                <w:i/>
              </w:rPr>
              <w:t> </w:t>
            </w:r>
          </w:p>
        </w:tc>
        <w:tc>
          <w:tcPr>
            <w:tcW w:w="542"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p>
        </w:tc>
        <w:tc>
          <w:tcPr>
            <w:tcW w:w="385" w:type="pct"/>
            <w:tcBorders>
              <w:top w:val="nil"/>
              <w:left w:val="nil"/>
              <w:bottom w:val="single" w:sz="4" w:space="0" w:color="auto"/>
              <w:right w:val="single" w:sz="4" w:space="0" w:color="auto"/>
            </w:tcBorders>
            <w:shd w:val="clear" w:color="000000" w:fill="C0C0C0"/>
            <w:noWrap/>
            <w:vAlign w:val="bottom"/>
            <w:hideMark/>
          </w:tcPr>
          <w:p w:rsidR="00884E9C" w:rsidRPr="00B344FC" w:rsidRDefault="00884E9C" w:rsidP="00884E9C">
            <w:pPr>
              <w:jc w:val="right"/>
              <w:rPr>
                <w:b/>
              </w:rPr>
            </w:pPr>
            <w:r>
              <w:rPr>
                <w:b/>
              </w:rPr>
              <w:t> </w:t>
            </w:r>
          </w:p>
        </w:tc>
        <w:tc>
          <w:tcPr>
            <w:tcW w:w="637" w:type="pct"/>
            <w:tcBorders>
              <w:top w:val="nil"/>
              <w:left w:val="nil"/>
              <w:bottom w:val="single" w:sz="4" w:space="0" w:color="auto"/>
              <w:right w:val="single" w:sz="8" w:space="0" w:color="auto"/>
            </w:tcBorders>
            <w:shd w:val="clear" w:color="000000" w:fill="C0C0C0"/>
            <w:noWrap/>
            <w:vAlign w:val="bottom"/>
            <w:hideMark/>
          </w:tcPr>
          <w:p w:rsidR="00884E9C" w:rsidRPr="00B344FC" w:rsidRDefault="00884E9C" w:rsidP="00795AB4">
            <w:pPr>
              <w:jc w:val="center"/>
              <w:rPr>
                <w:b/>
              </w:rPr>
            </w:pPr>
          </w:p>
        </w:tc>
      </w:tr>
      <w:tr w:rsidR="00884E9C"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84E9C" w:rsidRPr="00B344FC" w:rsidRDefault="00884E9C" w:rsidP="00884E9C">
            <w:pPr>
              <w:rPr>
                <w:b/>
              </w:rPr>
            </w:pPr>
            <w:r>
              <w:rPr>
                <w:b/>
              </w:rPr>
              <w:t>2.</w:t>
            </w:r>
            <w:r>
              <w:rPr>
                <w:b/>
                <w:bCs/>
              </w:rPr>
              <w:t xml:space="preserve"> </w:t>
            </w:r>
            <w:r>
              <w:rPr>
                <w:b/>
              </w:rPr>
              <w:t>Viajes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rPr>
                <w:b/>
              </w:rPr>
            </w:pPr>
            <w:r>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rPr>
                <w:b/>
              </w:rPr>
            </w:pP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t>2.1. Viajes internacionales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CANTIDAD A TANTO ALZADO</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t>5 000</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t>2.2 Transporte local</w:t>
            </w:r>
            <w:r>
              <w:rPr>
                <w:b/>
              </w:rPr>
              <w:t xml:space="preserve"> </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CANTIDAD A TANTO ALZADO</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t>2 400</w:t>
            </w:r>
          </w:p>
        </w:tc>
      </w:tr>
      <w:tr w:rsidR="00884E9C" w:rsidRPr="00B344FC"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rsidR="00884E9C" w:rsidRPr="00B344FC" w:rsidRDefault="00884E9C" w:rsidP="00884E9C">
            <w:pPr>
              <w:rPr>
                <w:b/>
                <w:i/>
              </w:rPr>
            </w:pPr>
            <w:r>
              <w:rPr>
                <w:b/>
                <w:i/>
              </w:rPr>
              <w:t xml:space="preserve">Subtotal «Viajes» </w:t>
            </w:r>
          </w:p>
        </w:tc>
        <w:tc>
          <w:tcPr>
            <w:tcW w:w="2000"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r>
              <w:rPr>
                <w:b/>
                <w:i/>
              </w:rPr>
              <w:t> </w:t>
            </w:r>
          </w:p>
        </w:tc>
        <w:tc>
          <w:tcPr>
            <w:tcW w:w="542" w:type="pct"/>
            <w:tcBorders>
              <w:top w:val="nil"/>
              <w:left w:val="nil"/>
              <w:bottom w:val="single" w:sz="4" w:space="0" w:color="auto"/>
              <w:right w:val="nil"/>
            </w:tcBorders>
            <w:shd w:val="clear" w:color="000000" w:fill="C0C0C0"/>
            <w:noWrap/>
            <w:vAlign w:val="bottom"/>
            <w:hideMark/>
          </w:tcPr>
          <w:p w:rsidR="00884E9C" w:rsidRPr="00B344FC" w:rsidRDefault="00884E9C" w:rsidP="00884E9C">
            <w:pPr>
              <w:rPr>
                <w:b/>
                <w:i/>
              </w:rPr>
            </w:pPr>
            <w:r>
              <w:rPr>
                <w:b/>
                <w:i/>
              </w:rPr>
              <w:t> </w:t>
            </w:r>
          </w:p>
        </w:tc>
        <w:tc>
          <w:tcPr>
            <w:tcW w:w="385" w:type="pct"/>
            <w:tcBorders>
              <w:top w:val="nil"/>
              <w:left w:val="nil"/>
              <w:bottom w:val="single" w:sz="4" w:space="0" w:color="auto"/>
              <w:right w:val="single" w:sz="4" w:space="0" w:color="auto"/>
            </w:tcBorders>
            <w:shd w:val="clear" w:color="000000" w:fill="C0C0C0"/>
            <w:noWrap/>
            <w:vAlign w:val="bottom"/>
            <w:hideMark/>
          </w:tcPr>
          <w:p w:rsidR="00884E9C" w:rsidRPr="00B344FC" w:rsidRDefault="00884E9C" w:rsidP="00884E9C">
            <w:pPr>
              <w:jc w:val="right"/>
              <w:rPr>
                <w:b/>
                <w:i/>
              </w:rPr>
            </w:pPr>
            <w:r>
              <w:rPr>
                <w:b/>
                <w:i/>
              </w:rPr>
              <w:t> </w:t>
            </w:r>
          </w:p>
        </w:tc>
        <w:tc>
          <w:tcPr>
            <w:tcW w:w="637" w:type="pct"/>
            <w:tcBorders>
              <w:top w:val="nil"/>
              <w:left w:val="nil"/>
              <w:bottom w:val="single" w:sz="4" w:space="0" w:color="auto"/>
              <w:right w:val="single" w:sz="8" w:space="0" w:color="auto"/>
            </w:tcBorders>
            <w:shd w:val="clear" w:color="000000" w:fill="C0C0C0"/>
            <w:noWrap/>
            <w:vAlign w:val="bottom"/>
            <w:hideMark/>
          </w:tcPr>
          <w:p w:rsidR="00884E9C" w:rsidRPr="00B344FC" w:rsidRDefault="00884E9C" w:rsidP="00795AB4">
            <w:pPr>
              <w:jc w:val="center"/>
              <w:rPr>
                <w:b/>
              </w:rPr>
            </w:pPr>
          </w:p>
        </w:tc>
      </w:tr>
      <w:tr w:rsidR="00884E9C"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84E9C" w:rsidRPr="00B344FC" w:rsidRDefault="00884E9C" w:rsidP="00884E9C">
            <w:pPr>
              <w:rPr>
                <w:b/>
              </w:rPr>
            </w:pPr>
            <w:r>
              <w:rPr>
                <w:b/>
              </w:rPr>
              <w:t>5.</w:t>
            </w:r>
            <w:r>
              <w:rPr>
                <w:b/>
                <w:bCs/>
              </w:rPr>
              <w:t xml:space="preserve"> </w:t>
            </w:r>
            <w:r>
              <w:rPr>
                <w:b/>
              </w:rPr>
              <w:t>Otros costes, servicios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rPr>
                <w:b/>
              </w:rPr>
            </w:pPr>
            <w:r>
              <w:rPr>
                <w:b/>
              </w:rPr>
              <w:t> </w:t>
            </w: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rPr>
                <w:b/>
              </w:rPr>
            </w:pPr>
            <w:r>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rPr>
                <w:b/>
              </w:rPr>
            </w:pPr>
          </w:p>
        </w:tc>
      </w:tr>
      <w:tr w:rsidR="00884E9C" w:rsidRPr="00B344FC"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t>5.1 Publicaciones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r>
              <w:t> </w:t>
            </w: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p>
        </w:tc>
      </w:tr>
      <w:tr w:rsidR="00884E9C" w:rsidRPr="00B344FC"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t>5.2 Estudios, investigación</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Pr>
                <w:b/>
              </w:rPr>
              <w:t>CANTIDAD A TANTO ALZADO </w:t>
            </w:r>
          </w:p>
        </w:tc>
        <w:tc>
          <w:tcPr>
            <w:tcW w:w="542" w:type="pct"/>
            <w:tcBorders>
              <w:top w:val="single" w:sz="4" w:space="0" w:color="auto"/>
              <w:left w:val="nil"/>
              <w:bottom w:val="single" w:sz="4" w:space="0" w:color="auto"/>
              <w:right w:val="single" w:sz="4" w:space="0" w:color="auto"/>
            </w:tcBorders>
            <w:shd w:val="clear" w:color="auto" w:fill="auto"/>
            <w:noWrap/>
            <w:vAlign w:val="bottom"/>
            <w:hideMark/>
          </w:tcPr>
          <w:p w:rsidR="00884E9C" w:rsidRPr="00B344FC" w:rsidRDefault="00884E9C" w:rsidP="00884E9C">
            <w:r>
              <w:t> </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t>8 000</w:t>
            </w: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t>5.5 Traducción, interpretación</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780BB8">
            <w:pPr>
              <w:jc w:val="center"/>
              <w:rPr>
                <w:b/>
              </w:rPr>
            </w:pPr>
            <w:r>
              <w:rPr>
                <w:b/>
                <w:bCs/>
              </w:rPr>
              <w:t>COSTE UNITARIO</w:t>
            </w:r>
            <w:r>
              <w:t xml:space="preserve"> (por organización de conferencias)</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r>
              <w:t>2</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r>
              <w:t>800</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B2718E" w:rsidP="00795AB4">
            <w:pPr>
              <w:jc w:val="center"/>
            </w:pPr>
            <w:r>
              <w:t>1 600</w:t>
            </w: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t>5.7 Costes de conferencias/seminarios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rPr>
                <w:b/>
              </w:rPr>
            </w:pP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B2718E" w:rsidP="00795AB4">
            <w:pPr>
              <w:jc w:val="center"/>
            </w:pP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t>5.7.1 Sala de reuniones, alquiler</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rPr>
                <w:b/>
              </w:rPr>
            </w:pPr>
            <w:r>
              <w:rPr>
                <w:b/>
                <w:bCs/>
              </w:rPr>
              <w:t>COSTE UNITARIO</w:t>
            </w:r>
            <w:r>
              <w:t xml:space="preserve"> (por organización de conferencias)</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795AB4" w:rsidP="00795AB4">
            <w:pPr>
              <w:jc w:val="center"/>
            </w:pPr>
            <w:r>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795AB4" w:rsidP="00B2718E">
            <w:pPr>
              <w:jc w:val="center"/>
            </w:pPr>
            <w:r>
              <w:t>500</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795AB4" w:rsidP="00795AB4">
            <w:pPr>
              <w:jc w:val="center"/>
            </w:pPr>
            <w:r>
              <w:t>2 000</w:t>
            </w:r>
          </w:p>
        </w:tc>
      </w:tr>
      <w:tr w:rsidR="00795AB4"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795AB4" w:rsidRPr="0020338E" w:rsidRDefault="00795AB4" w:rsidP="00795AB4">
            <w:r>
              <w:t>5.7.2 Sala de reuniones, equipo</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B2718E">
            <w:pPr>
              <w:jc w:val="center"/>
              <w:rPr>
                <w:b/>
              </w:rPr>
            </w:pPr>
            <w:r>
              <w:rPr>
                <w:b/>
                <w:bCs/>
              </w:rPr>
              <w:t>COSTE UNITARIO</w:t>
            </w:r>
            <w:r>
              <w:t xml:space="preserve"> (por organización de conferencias)</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795AB4">
            <w:pPr>
              <w:jc w:val="center"/>
            </w:pPr>
            <w:r>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B2718E">
            <w:pPr>
              <w:jc w:val="center"/>
            </w:pPr>
            <w:r>
              <w:t>375</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795AB4" w:rsidRPr="0020338E" w:rsidRDefault="00795AB4" w:rsidP="00795AB4">
            <w:pPr>
              <w:jc w:val="center"/>
            </w:pPr>
            <w:r>
              <w:t>1 500</w:t>
            </w:r>
          </w:p>
        </w:tc>
      </w:tr>
      <w:tr w:rsidR="00B2718E" w:rsidRPr="00B344FC" w:rsidTr="00895E35">
        <w:trPr>
          <w:trHeight w:val="300"/>
        </w:trPr>
        <w:tc>
          <w:tcPr>
            <w:tcW w:w="1436" w:type="pct"/>
            <w:tcBorders>
              <w:top w:val="single" w:sz="4" w:space="0" w:color="auto"/>
              <w:left w:val="single" w:sz="8" w:space="0" w:color="auto"/>
              <w:bottom w:val="single" w:sz="4" w:space="0" w:color="auto"/>
              <w:right w:val="nil"/>
            </w:tcBorders>
            <w:shd w:val="clear" w:color="000000" w:fill="C0C0C0"/>
            <w:vAlign w:val="bottom"/>
            <w:hideMark/>
          </w:tcPr>
          <w:p w:rsidR="00B2718E" w:rsidRPr="00B344FC" w:rsidRDefault="00B2718E" w:rsidP="00E96DE2">
            <w:pPr>
              <w:rPr>
                <w:b/>
                <w:i/>
              </w:rPr>
            </w:pPr>
            <w:r>
              <w:rPr>
                <w:b/>
                <w:i/>
              </w:rPr>
              <w:t>Subtotal «Otros costes,</w:t>
            </w:r>
            <w:r w:rsidR="00E96DE2">
              <w:rPr>
                <w:b/>
                <w:i/>
              </w:rPr>
              <w:t xml:space="preserve"> </w:t>
            </w:r>
            <w:r>
              <w:rPr>
                <w:b/>
                <w:i/>
              </w:rPr>
              <w:t>servicios»</w:t>
            </w:r>
          </w:p>
        </w:tc>
        <w:tc>
          <w:tcPr>
            <w:tcW w:w="2000" w:type="pct"/>
            <w:tcBorders>
              <w:top w:val="single" w:sz="4" w:space="0" w:color="auto"/>
              <w:left w:val="nil"/>
              <w:bottom w:val="single" w:sz="4" w:space="0" w:color="auto"/>
              <w:right w:val="nil"/>
            </w:tcBorders>
            <w:shd w:val="clear" w:color="000000" w:fill="C0C0C0"/>
            <w:noWrap/>
            <w:vAlign w:val="bottom"/>
            <w:hideMark/>
          </w:tcPr>
          <w:p w:rsidR="00B2718E" w:rsidRPr="00B344FC" w:rsidRDefault="00B2718E" w:rsidP="00B2718E">
            <w:pPr>
              <w:jc w:val="center"/>
              <w:rPr>
                <w:b/>
                <w:i/>
              </w:rPr>
            </w:pPr>
            <w:r>
              <w:rPr>
                <w:b/>
                <w:i/>
              </w:rPr>
              <w:t> </w:t>
            </w:r>
          </w:p>
        </w:tc>
        <w:tc>
          <w:tcPr>
            <w:tcW w:w="542" w:type="pct"/>
            <w:tcBorders>
              <w:top w:val="single" w:sz="4" w:space="0" w:color="auto"/>
              <w:left w:val="nil"/>
              <w:bottom w:val="single" w:sz="4" w:space="0" w:color="auto"/>
              <w:right w:val="nil"/>
            </w:tcBorders>
            <w:shd w:val="clear" w:color="000000" w:fill="C0C0C0"/>
            <w:noWrap/>
            <w:vAlign w:val="bottom"/>
            <w:hideMark/>
          </w:tcPr>
          <w:p w:rsidR="00B2718E" w:rsidRPr="00B344FC" w:rsidRDefault="00B2718E" w:rsidP="00B2718E">
            <w:pPr>
              <w:rPr>
                <w:b/>
                <w:i/>
              </w:rPr>
            </w:pPr>
            <w:r>
              <w:rPr>
                <w:b/>
                <w:i/>
              </w:rPr>
              <w:t> </w:t>
            </w:r>
          </w:p>
        </w:tc>
        <w:tc>
          <w:tcPr>
            <w:tcW w:w="385" w:type="pct"/>
            <w:tcBorders>
              <w:top w:val="single" w:sz="4" w:space="0" w:color="auto"/>
              <w:left w:val="nil"/>
              <w:bottom w:val="single" w:sz="4" w:space="0" w:color="auto"/>
              <w:right w:val="single" w:sz="4" w:space="0" w:color="auto"/>
            </w:tcBorders>
            <w:shd w:val="clear" w:color="000000" w:fill="C0C0C0"/>
            <w:noWrap/>
            <w:vAlign w:val="bottom"/>
            <w:hideMark/>
          </w:tcPr>
          <w:p w:rsidR="00B2718E" w:rsidRPr="00B344FC" w:rsidRDefault="00B2718E" w:rsidP="00B2718E">
            <w:pPr>
              <w:rPr>
                <w:b/>
                <w:i/>
              </w:rPr>
            </w:pPr>
            <w:r>
              <w:rPr>
                <w:b/>
                <w:i/>
              </w:rPr>
              <w:t> </w:t>
            </w:r>
          </w:p>
        </w:tc>
        <w:tc>
          <w:tcPr>
            <w:tcW w:w="637" w:type="pct"/>
            <w:tcBorders>
              <w:top w:val="single" w:sz="4" w:space="0" w:color="auto"/>
              <w:left w:val="nil"/>
              <w:bottom w:val="single" w:sz="4" w:space="0" w:color="auto"/>
              <w:right w:val="single" w:sz="8" w:space="0" w:color="auto"/>
            </w:tcBorders>
            <w:shd w:val="clear" w:color="000000" w:fill="C0C0C0"/>
            <w:noWrap/>
            <w:vAlign w:val="bottom"/>
            <w:hideMark/>
          </w:tcPr>
          <w:p w:rsidR="00B2718E" w:rsidRPr="00B344FC" w:rsidRDefault="00B2718E" w:rsidP="00B2718E">
            <w:pPr>
              <w:jc w:val="right"/>
              <w:rPr>
                <w:b/>
              </w:rPr>
            </w:pPr>
          </w:p>
        </w:tc>
      </w:tr>
      <w:tr w:rsidR="00895E35" w:rsidRPr="00B344FC" w:rsidTr="00BD48AD">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95E35" w:rsidRPr="00B344FC" w:rsidRDefault="00895E35" w:rsidP="00895E35">
            <w:pPr>
              <w:rPr>
                <w:b/>
              </w:rPr>
            </w:pPr>
            <w:r>
              <w:rPr>
                <w:b/>
              </w:rPr>
              <w:t>6.</w:t>
            </w:r>
            <w:r>
              <w:rPr>
                <w:b/>
                <w:bCs/>
              </w:rPr>
              <w:t xml:space="preserve"> </w:t>
            </w:r>
            <w:r>
              <w:rPr>
                <w:b/>
              </w:rPr>
              <w:t xml:space="preserve">Otros </w:t>
            </w:r>
          </w:p>
        </w:tc>
        <w:tc>
          <w:tcPr>
            <w:tcW w:w="2000"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center"/>
              <w:rPr>
                <w:b/>
              </w:rPr>
            </w:pPr>
            <w:r>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rPr>
                <w:b/>
              </w:rPr>
            </w:pPr>
            <w:r>
              <w:rPr>
                <w:b/>
              </w:rPr>
              <w:t> </w:t>
            </w:r>
          </w:p>
        </w:tc>
        <w:tc>
          <w:tcPr>
            <w:tcW w:w="385"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right"/>
              <w:rPr>
                <w:b/>
              </w:rPr>
            </w:pPr>
            <w:r>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95E35" w:rsidRPr="00B344FC" w:rsidRDefault="00895E35" w:rsidP="00BD48AD">
            <w:pPr>
              <w:jc w:val="center"/>
              <w:rPr>
                <w:b/>
              </w:rPr>
            </w:pPr>
          </w:p>
        </w:tc>
      </w:tr>
      <w:tr w:rsidR="00895E35" w:rsidRPr="00B344FC" w:rsidTr="00B97F44">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95E35" w:rsidRPr="00B344FC" w:rsidRDefault="00B97F44" w:rsidP="00B97F44">
            <w:r>
              <w:t>6.1 Otros servicios</w:t>
            </w:r>
          </w:p>
        </w:tc>
        <w:tc>
          <w:tcPr>
            <w:tcW w:w="2000"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center"/>
            </w:pPr>
            <w:r>
              <w:t> </w:t>
            </w:r>
          </w:p>
        </w:tc>
        <w:tc>
          <w:tcPr>
            <w:tcW w:w="542"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r>
              <w:t> </w:t>
            </w:r>
          </w:p>
        </w:tc>
        <w:tc>
          <w:tcPr>
            <w:tcW w:w="385"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right"/>
            </w:pPr>
            <w:r>
              <w:t> </w:t>
            </w:r>
          </w:p>
        </w:tc>
        <w:tc>
          <w:tcPr>
            <w:tcW w:w="637" w:type="pct"/>
            <w:tcBorders>
              <w:top w:val="nil"/>
              <w:left w:val="nil"/>
              <w:bottom w:val="single" w:sz="4" w:space="0" w:color="auto"/>
              <w:right w:val="single" w:sz="8" w:space="0" w:color="auto"/>
            </w:tcBorders>
            <w:shd w:val="clear" w:color="auto" w:fill="auto"/>
            <w:noWrap/>
            <w:vAlign w:val="bottom"/>
            <w:hideMark/>
          </w:tcPr>
          <w:p w:rsidR="00895E35" w:rsidRPr="00B344FC" w:rsidRDefault="00895E35" w:rsidP="00BD48AD">
            <w:pPr>
              <w:jc w:val="center"/>
            </w:pPr>
          </w:p>
        </w:tc>
      </w:tr>
      <w:tr w:rsidR="00B97F44" w:rsidRPr="00B344FC" w:rsidTr="00B97F44">
        <w:trPr>
          <w:trHeight w:val="285"/>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97F44" w:rsidRDefault="009C211C" w:rsidP="00F95283">
            <w:r>
              <w:t>6.1.1 Distribución de vacunas (actividad X)</w:t>
            </w:r>
          </w:p>
        </w:tc>
        <w:tc>
          <w:tcPr>
            <w:tcW w:w="2000" w:type="pct"/>
            <w:tcBorders>
              <w:top w:val="single" w:sz="4" w:space="0" w:color="auto"/>
              <w:left w:val="nil"/>
              <w:bottom w:val="single" w:sz="4" w:space="0" w:color="auto"/>
              <w:right w:val="single" w:sz="4" w:space="0" w:color="auto"/>
            </w:tcBorders>
            <w:shd w:val="clear" w:color="auto" w:fill="auto"/>
            <w:noWrap/>
            <w:vAlign w:val="bottom"/>
          </w:tcPr>
          <w:p w:rsidR="00B97F44" w:rsidRPr="00C91B5E" w:rsidRDefault="009C211C" w:rsidP="00F95283">
            <w:pPr>
              <w:jc w:val="center"/>
              <w:rPr>
                <w:b/>
              </w:rPr>
            </w:pPr>
            <w:r>
              <w:rPr>
                <w:b/>
                <w:bCs/>
              </w:rPr>
              <w:t>COSTE UNITARIO</w:t>
            </w:r>
            <w:r>
              <w:t xml:space="preserve"> (por vacuna)</w:t>
            </w:r>
          </w:p>
        </w:tc>
        <w:tc>
          <w:tcPr>
            <w:tcW w:w="542"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F95283">
            <w:pPr>
              <w:jc w:val="center"/>
            </w:pPr>
            <w:r>
              <w:t>20 000</w:t>
            </w:r>
          </w:p>
        </w:tc>
        <w:tc>
          <w:tcPr>
            <w:tcW w:w="385"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F95283">
            <w:pPr>
              <w:jc w:val="center"/>
            </w:pPr>
            <w:r>
              <w:t>40</w:t>
            </w:r>
          </w:p>
        </w:tc>
        <w:tc>
          <w:tcPr>
            <w:tcW w:w="637"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BD48AD">
            <w:pPr>
              <w:jc w:val="center"/>
            </w:pPr>
            <w:r>
              <w:t>800 000</w:t>
            </w:r>
          </w:p>
        </w:tc>
      </w:tr>
      <w:tr w:rsidR="00F95283" w:rsidRPr="00B344FC" w:rsidTr="000A7CDA">
        <w:trPr>
          <w:trHeight w:val="285"/>
        </w:trPr>
        <w:tc>
          <w:tcPr>
            <w:tcW w:w="4363" w:type="pct"/>
            <w:gridSpan w:val="4"/>
            <w:tcBorders>
              <w:top w:val="single" w:sz="4" w:space="0" w:color="auto"/>
              <w:left w:val="single" w:sz="4" w:space="0" w:color="auto"/>
              <w:bottom w:val="single" w:sz="4" w:space="0" w:color="auto"/>
              <w:right w:val="single" w:sz="4" w:space="0" w:color="auto"/>
            </w:tcBorders>
            <w:shd w:val="clear" w:color="auto" w:fill="A5A5A5"/>
            <w:vAlign w:val="bottom"/>
          </w:tcPr>
          <w:p w:rsidR="00F95283" w:rsidRDefault="00F95283" w:rsidP="00F95283">
            <w:r>
              <w:rPr>
                <w:b/>
                <w:i/>
              </w:rPr>
              <w:t>Subtotal «Otros»</w:t>
            </w:r>
          </w:p>
        </w:tc>
        <w:tc>
          <w:tcPr>
            <w:tcW w:w="637" w:type="pct"/>
            <w:tcBorders>
              <w:top w:val="single" w:sz="4" w:space="0" w:color="auto"/>
              <w:left w:val="nil"/>
              <w:bottom w:val="single" w:sz="4" w:space="0" w:color="auto"/>
              <w:right w:val="single" w:sz="4" w:space="0" w:color="auto"/>
            </w:tcBorders>
            <w:shd w:val="clear" w:color="auto" w:fill="A5A5A5"/>
            <w:noWrap/>
            <w:vAlign w:val="bottom"/>
          </w:tcPr>
          <w:p w:rsidR="00F95283" w:rsidRDefault="00F95283" w:rsidP="00F95283">
            <w:pPr>
              <w:jc w:val="center"/>
            </w:pPr>
          </w:p>
        </w:tc>
      </w:tr>
    </w:tbl>
    <w:p w:rsidR="00262C0E" w:rsidRPr="00B344FC" w:rsidRDefault="00262C0E" w:rsidP="00DB79A2">
      <w:pPr>
        <w:spacing w:before="120"/>
        <w:jc w:val="both"/>
        <w:rPr>
          <w:i/>
          <w:sz w:val="22"/>
        </w:rPr>
      </w:pPr>
      <w:r>
        <w:rPr>
          <w:i/>
          <w:sz w:val="22"/>
        </w:rPr>
        <w:t>En el ejemplo anterior:</w:t>
      </w:r>
    </w:p>
    <w:p w:rsidR="00C91B5E" w:rsidRDefault="00262C0E" w:rsidP="004E0B9C">
      <w:pPr>
        <w:numPr>
          <w:ilvl w:val="0"/>
          <w:numId w:val="18"/>
        </w:numPr>
        <w:spacing w:before="120"/>
        <w:jc w:val="both"/>
        <w:rPr>
          <w:i/>
          <w:sz w:val="22"/>
        </w:rPr>
      </w:pPr>
      <w:r>
        <w:rPr>
          <w:i/>
          <w:sz w:val="22"/>
        </w:rPr>
        <w:t xml:space="preserve">Los costes de los gestores de eventos (subrúbrica 1.1.1.1) y de los intérpretes (subrúbrica 5.5) que trabajen exclusivamente para la conferencia final (ejemplo de actividad) se reembolsarán únicamente sobre la base de los resultados obtenidos (organización de la conferencia final), conforme a lo definido en la acción. Lo mismo sucede con los costes relacionados con el alquiler y el equipamiento de la sala de reuniones utilizada para la conferencia final (subrúbricas 5.7.1 y 5.7.2). Una vez alcanzado el resultado, se podrá proceder al reembolso. </w:t>
      </w:r>
    </w:p>
    <w:p w:rsidR="00C91B5E" w:rsidRDefault="00C91B5E" w:rsidP="00C91B5E">
      <w:pPr>
        <w:spacing w:before="120"/>
        <w:ind w:left="720"/>
        <w:jc w:val="both"/>
        <w:rPr>
          <w:i/>
          <w:sz w:val="22"/>
        </w:rPr>
      </w:pPr>
      <w:r>
        <w:rPr>
          <w:i/>
          <w:sz w:val="22"/>
        </w:rPr>
        <w:t xml:space="preserve">Los costes de distribución de vacunas (subrúbrica 6.1.1) incluirán, por ejemplo: la adquisición, la logística, la gestión y la entrega, el almacenamiento, el personal médico que administra la vacuna, los gastos conexos, etc. Una vez alcanzado el producto previamente descrito en la acción, relacionada con la actividad X, se podrá reembolsar la subrúbrica 6.1.1. </w:t>
      </w:r>
    </w:p>
    <w:p w:rsidR="00D85EA1" w:rsidRPr="004E0B9C" w:rsidRDefault="00331403" w:rsidP="00C91B5E">
      <w:pPr>
        <w:spacing w:before="120"/>
        <w:ind w:left="720"/>
        <w:jc w:val="both"/>
        <w:rPr>
          <w:i/>
          <w:sz w:val="22"/>
        </w:rPr>
      </w:pPr>
      <w:r>
        <w:rPr>
          <w:i/>
          <w:sz w:val="22"/>
          <w:szCs w:val="22"/>
        </w:rPr>
        <w:lastRenderedPageBreak/>
        <w:t xml:space="preserve">El beneficiario deberá determinar el importe unitario sobre la base de datos estadísticos, dictámenes de expertos, sus propias prácticas contables, etc. En caso de que el Comité de Evaluación rechace la metodología presentada, estos costes podrán reembolsarse como costes reales. Deberá facilitarse información adicional en la ficha de justificación. </w:t>
      </w:r>
    </w:p>
    <w:p w:rsidR="002420B6" w:rsidRPr="00180447" w:rsidRDefault="00565643" w:rsidP="001B007E">
      <w:pPr>
        <w:numPr>
          <w:ilvl w:val="0"/>
          <w:numId w:val="18"/>
        </w:numPr>
        <w:spacing w:before="120"/>
        <w:jc w:val="both"/>
        <w:rPr>
          <w:i/>
          <w:sz w:val="22"/>
        </w:rPr>
      </w:pPr>
      <w:r>
        <w:rPr>
          <w:i/>
          <w:iCs/>
        </w:rPr>
        <w:t>Los gastos de viaje (rúbrica 2) y el coste de los estudios e investigaciones (subrúbrica 5.2), si se realizan de conformidad con las condiciones acordadas en la descripción de la acción y en la justificación del presupuesto (número y detalles de los vuelos;</w:t>
      </w:r>
      <w:r>
        <w:rPr>
          <w:i/>
          <w:sz w:val="22"/>
        </w:rPr>
        <w:t xml:space="preserve"> estudios con arreglo al pliego de condiciones), se reembolsarán en forma de cantidad a tanto alzado una vez que se haya alcanzado el producto en cuestión. Deberá facilitarse información </w:t>
      </w:r>
      <w:r>
        <w:rPr>
          <w:i/>
          <w:sz w:val="22"/>
          <w:szCs w:val="22"/>
        </w:rPr>
        <w:t>adicional</w:t>
      </w:r>
      <w:r>
        <w:rPr>
          <w:i/>
          <w:sz w:val="22"/>
        </w:rPr>
        <w:t xml:space="preserve"> sobre el método de cálculo en la ficha de justificación</w:t>
      </w:r>
      <w:r>
        <w:rPr>
          <w:i/>
          <w:sz w:val="22"/>
          <w:szCs w:val="22"/>
        </w:rPr>
        <w:t xml:space="preserve">. </w:t>
      </w:r>
    </w:p>
    <w:p w:rsidR="00E9289E" w:rsidRDefault="00E9289E" w:rsidP="00F13AA8">
      <w:pPr>
        <w:spacing w:before="120"/>
        <w:ind w:left="426"/>
        <w:jc w:val="both"/>
        <w:rPr>
          <w:i/>
          <w:sz w:val="22"/>
          <w:szCs w:val="22"/>
        </w:rPr>
      </w:pPr>
    </w:p>
    <w:p w:rsidR="00E9289E" w:rsidRPr="00DB79A2" w:rsidRDefault="00565643" w:rsidP="008308FC">
      <w:pPr>
        <w:pBdr>
          <w:top w:val="single" w:sz="8" w:space="1" w:color="auto"/>
          <w:left w:val="single" w:sz="8" w:space="4" w:color="auto"/>
          <w:bottom w:val="single" w:sz="8" w:space="1" w:color="auto"/>
          <w:right w:val="single" w:sz="8" w:space="4" w:color="auto"/>
        </w:pBdr>
        <w:spacing w:before="60" w:after="60"/>
        <w:jc w:val="both"/>
        <w:rPr>
          <w:sz w:val="22"/>
          <w:szCs w:val="22"/>
        </w:rPr>
      </w:pPr>
      <w:r>
        <w:rPr>
          <w:sz w:val="22"/>
          <w:szCs w:val="22"/>
        </w:rPr>
        <w:t>Además, en la segunda columna de la ficha de justificación y por cada una de las partidas presupuestarias o rúbricas correspondientes los solicitantes deberán:</w:t>
      </w:r>
    </w:p>
    <w:p w:rsidR="00E9289E" w:rsidRPr="00DB79A2"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Pr>
          <w:sz w:val="22"/>
          <w:szCs w:val="22"/>
        </w:rPr>
        <w:t>-</w:t>
      </w:r>
      <w:r>
        <w:rPr>
          <w:sz w:val="22"/>
          <w:szCs w:val="22"/>
        </w:rPr>
        <w:tab/>
        <w:t xml:space="preserve">Describir la información y los métodos utilizados para establecer las cantidades de los costes unitarios o las cantidades a tanto alzado para los costes a que se refieren, en el caso de las OCS basadas en productos o resultados. </w:t>
      </w:r>
    </w:p>
    <w:p w:rsidR="00ED6DAE"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Pr>
          <w:sz w:val="22"/>
          <w:szCs w:val="22"/>
        </w:rPr>
        <w:t>-</w:t>
      </w:r>
      <w:r>
        <w:rPr>
          <w:sz w:val="22"/>
          <w:szCs w:val="22"/>
        </w:rPr>
        <w:tab/>
        <w:t>Explicar las fórmulas para el cálculo del importe final subvencionable</w:t>
      </w:r>
      <w:r w:rsidRPr="00DB79A2">
        <w:rPr>
          <w:rStyle w:val="FootnoteReference"/>
          <w:szCs w:val="22"/>
        </w:rPr>
        <w:footnoteReference w:id="4"/>
      </w:r>
      <w:r>
        <w:rPr>
          <w:szCs w:val="22"/>
        </w:rPr>
        <w:t>.</w:t>
      </w:r>
    </w:p>
    <w:p w:rsidR="00BF6F63" w:rsidRDefault="00BF6F63" w:rsidP="004D77F5">
      <w:pPr>
        <w:pBdr>
          <w:top w:val="single" w:sz="8" w:space="1" w:color="auto"/>
          <w:left w:val="single" w:sz="8" w:space="4" w:color="auto"/>
          <w:bottom w:val="single" w:sz="8" w:space="1" w:color="auto"/>
          <w:right w:val="single" w:sz="8" w:space="4" w:color="auto"/>
        </w:pBdr>
        <w:spacing w:before="60" w:after="60"/>
        <w:ind w:left="284" w:hanging="284"/>
        <w:rPr>
          <w:sz w:val="22"/>
          <w:szCs w:val="22"/>
        </w:rPr>
      </w:pPr>
    </w:p>
    <w:p w:rsidR="004C1923" w:rsidRPr="00DB79A2" w:rsidRDefault="004C1923" w:rsidP="0074131C">
      <w:pPr>
        <w:spacing w:before="120" w:after="120"/>
      </w:pPr>
    </w:p>
    <w:sectPr w:rsidR="004C1923" w:rsidRPr="00DB79A2">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184" w:rsidRDefault="001F3184">
      <w:r>
        <w:separator/>
      </w:r>
    </w:p>
  </w:endnote>
  <w:endnote w:type="continuationSeparator" w:id="0">
    <w:p w:rsidR="001F3184" w:rsidRDefault="001F3184">
      <w:r>
        <w:continuationSeparator/>
      </w:r>
    </w:p>
  </w:endnote>
  <w:endnote w:type="continuationNotice" w:id="1">
    <w:p w:rsidR="001F3184" w:rsidRDefault="001F3184"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4FC" w:rsidRDefault="00B344F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Pr="00F51FDD" w:rsidRDefault="008308FC" w:rsidP="00A171FB">
    <w:pPr>
      <w:pStyle w:val="Footer"/>
      <w:tabs>
        <w:tab w:val="clear" w:pos="4536"/>
        <w:tab w:val="right" w:pos="9639"/>
      </w:tabs>
      <w:spacing w:before="120"/>
    </w:pPr>
    <w:r>
      <w:rPr>
        <w:b/>
        <w:sz w:val="18"/>
      </w:rPr>
      <w:t>2021</w:t>
    </w:r>
    <w:r w:rsidR="00347873">
      <w:rPr>
        <w:b/>
        <w:sz w:val="18"/>
      </w:rPr>
      <w:t>.1</w:t>
    </w:r>
    <w:r>
      <w:tab/>
      <w:t xml:space="preserve">Página </w:t>
    </w:r>
    <w:r w:rsidR="00B344FC" w:rsidRPr="00F51FDD">
      <w:fldChar w:fldCharType="begin"/>
    </w:r>
    <w:r w:rsidR="00B344FC" w:rsidRPr="00F51FDD">
      <w:instrText xml:space="preserve"> PAGE </w:instrText>
    </w:r>
    <w:r w:rsidR="00B344FC" w:rsidRPr="00F51FDD">
      <w:fldChar w:fldCharType="separate"/>
    </w:r>
    <w:r w:rsidR="009A02FF">
      <w:rPr>
        <w:noProof/>
      </w:rPr>
      <w:t>1</w:t>
    </w:r>
    <w:r w:rsidR="00B344FC" w:rsidRPr="00F51FDD">
      <w:fldChar w:fldCharType="end"/>
    </w:r>
    <w:r>
      <w:t xml:space="preserve"> de </w:t>
    </w:r>
    <w:fldSimple w:instr=" NUMPAGES ">
      <w:r w:rsidR="009A02FF">
        <w:rPr>
          <w:noProof/>
        </w:rPr>
        <w:t>4</w:t>
      </w:r>
    </w:fldSimple>
  </w:p>
  <w:p w:rsidR="00B344FC" w:rsidRPr="00DB79A2" w:rsidRDefault="00B344FC" w:rsidP="00DB79A2">
    <w:pPr>
      <w:pStyle w:val="Footer"/>
      <w:tabs>
        <w:tab w:val="clear" w:pos="4536"/>
        <w:tab w:val="right" w:pos="9639"/>
      </w:tabs>
      <w:rPr>
        <w:sz w:val="18"/>
        <w:szCs w:val="18"/>
      </w:rPr>
    </w:pPr>
    <w:r w:rsidRPr="00C9081A">
      <w:rPr>
        <w:rStyle w:val="PageNumber"/>
        <w:sz w:val="18"/>
        <w:szCs w:val="18"/>
      </w:rPr>
      <w:fldChar w:fldCharType="begin"/>
    </w:r>
    <w:r w:rsidRPr="00C9081A">
      <w:rPr>
        <w:rStyle w:val="PageNumber"/>
        <w:sz w:val="18"/>
        <w:szCs w:val="18"/>
      </w:rPr>
      <w:instrText xml:space="preserve"> FILENAME </w:instrText>
    </w:r>
    <w:r w:rsidRPr="00C9081A">
      <w:rPr>
        <w:rStyle w:val="PageNumber"/>
        <w:sz w:val="18"/>
        <w:szCs w:val="18"/>
      </w:rPr>
      <w:fldChar w:fldCharType="separate"/>
    </w:r>
    <w:r w:rsidR="00A94101">
      <w:rPr>
        <w:rStyle w:val="PageNumber"/>
        <w:noProof/>
        <w:sz w:val="18"/>
        <w:szCs w:val="18"/>
      </w:rPr>
      <w:t>e3a2_guidelines SCO Annex K_es.docx</w:t>
    </w:r>
    <w:r w:rsidRPr="00C9081A">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184" w:rsidRDefault="001F3184">
      <w:r>
        <w:separator/>
      </w:r>
    </w:p>
  </w:footnote>
  <w:footnote w:type="continuationSeparator" w:id="0">
    <w:p w:rsidR="001F3184" w:rsidRDefault="001F3184">
      <w:r>
        <w:continuationSeparator/>
      </w:r>
    </w:p>
  </w:footnote>
  <w:footnote w:type="continuationNotice" w:id="1">
    <w:p w:rsidR="001F3184" w:rsidRDefault="001F3184" w:rsidP="007D7560"/>
  </w:footnote>
  <w:footnote w:id="2">
    <w:p w:rsidR="00F26509" w:rsidRPr="00F26509" w:rsidRDefault="00F26509">
      <w:pPr>
        <w:pStyle w:val="FootnoteText"/>
      </w:pPr>
      <w:r>
        <w:rPr>
          <w:rStyle w:val="FootnoteReference"/>
        </w:rPr>
        <w:footnoteRef/>
      </w:r>
      <w:r>
        <w:t xml:space="preserve"> En el caso de las convocatorias abiertas, con la presentación del formulario de solicitud. </w:t>
      </w:r>
    </w:p>
  </w:footnote>
  <w:footnote w:id="3">
    <w:p w:rsidR="00B344FC" w:rsidRPr="00E93A31" w:rsidRDefault="00B344FC" w:rsidP="00F61971">
      <w:r>
        <w:rPr>
          <w:rStyle w:val="FootnoteReference"/>
        </w:rPr>
        <w:footnoteRef/>
      </w:r>
      <w:r>
        <w:t> Utilice líneas diferentes para cada tipo de opción de coste simplificado y por beneficiario.</w:t>
      </w:r>
    </w:p>
  </w:footnote>
  <w:footnote w:id="4">
    <w:p w:rsidR="00B344FC" w:rsidRPr="00E93A31" w:rsidRDefault="00B344FC" w:rsidP="00E93A31">
      <w:pPr>
        <w:spacing w:before="120"/>
        <w:rPr>
          <w:bCs/>
          <w:highlight w:val="yellow"/>
        </w:rPr>
      </w:pPr>
      <w:r>
        <w:rPr>
          <w:rStyle w:val="FootnoteReference"/>
        </w:rPr>
        <w:footnoteRef/>
      </w:r>
      <w:r>
        <w:t> </w:t>
      </w:r>
      <w:r>
        <w:rPr>
          <w:i/>
          <w:iCs/>
        </w:rPr>
        <w:t>Ejemplo:</w:t>
      </w:r>
      <w:r>
        <w:rPr>
          <w:i/>
        </w:rPr>
        <w:t xml:space="preserve"> </w:t>
      </w:r>
      <w:r>
        <w:rPr>
          <w:i/>
        </w:rPr>
        <w:br/>
        <w:t>- Costes específicos relacionados con la organización de un evento: número de participantes*, coste total por participante,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3BAE"/>
    <w:multiLevelType w:val="hybridMultilevel"/>
    <w:tmpl w:val="1F3A3E46"/>
    <w:lvl w:ilvl="0" w:tplc="1809000F">
      <w:start w:val="1"/>
      <w:numFmt w:val="decimal"/>
      <w:lvlText w:val="%1."/>
      <w:lvlJc w:val="left"/>
      <w:pPr>
        <w:ind w:left="417" w:hanging="360"/>
      </w:pPr>
    </w:lvl>
    <w:lvl w:ilvl="1" w:tplc="18090019" w:tentative="1">
      <w:start w:val="1"/>
      <w:numFmt w:val="lowerLetter"/>
      <w:lvlText w:val="%2."/>
      <w:lvlJc w:val="left"/>
      <w:pPr>
        <w:ind w:left="1137" w:hanging="360"/>
      </w:pPr>
    </w:lvl>
    <w:lvl w:ilvl="2" w:tplc="1809001B" w:tentative="1">
      <w:start w:val="1"/>
      <w:numFmt w:val="lowerRoman"/>
      <w:lvlText w:val="%3."/>
      <w:lvlJc w:val="right"/>
      <w:pPr>
        <w:ind w:left="1857" w:hanging="180"/>
      </w:pPr>
    </w:lvl>
    <w:lvl w:ilvl="3" w:tplc="1809000F" w:tentative="1">
      <w:start w:val="1"/>
      <w:numFmt w:val="decimal"/>
      <w:lvlText w:val="%4."/>
      <w:lvlJc w:val="left"/>
      <w:pPr>
        <w:ind w:left="2577" w:hanging="360"/>
      </w:pPr>
    </w:lvl>
    <w:lvl w:ilvl="4" w:tplc="18090019" w:tentative="1">
      <w:start w:val="1"/>
      <w:numFmt w:val="lowerLetter"/>
      <w:lvlText w:val="%5."/>
      <w:lvlJc w:val="left"/>
      <w:pPr>
        <w:ind w:left="3297" w:hanging="360"/>
      </w:pPr>
    </w:lvl>
    <w:lvl w:ilvl="5" w:tplc="1809001B" w:tentative="1">
      <w:start w:val="1"/>
      <w:numFmt w:val="lowerRoman"/>
      <w:lvlText w:val="%6."/>
      <w:lvlJc w:val="right"/>
      <w:pPr>
        <w:ind w:left="4017" w:hanging="180"/>
      </w:pPr>
    </w:lvl>
    <w:lvl w:ilvl="6" w:tplc="1809000F" w:tentative="1">
      <w:start w:val="1"/>
      <w:numFmt w:val="decimal"/>
      <w:lvlText w:val="%7."/>
      <w:lvlJc w:val="left"/>
      <w:pPr>
        <w:ind w:left="4737" w:hanging="360"/>
      </w:pPr>
    </w:lvl>
    <w:lvl w:ilvl="7" w:tplc="18090019" w:tentative="1">
      <w:start w:val="1"/>
      <w:numFmt w:val="lowerLetter"/>
      <w:lvlText w:val="%8."/>
      <w:lvlJc w:val="left"/>
      <w:pPr>
        <w:ind w:left="5457" w:hanging="360"/>
      </w:pPr>
    </w:lvl>
    <w:lvl w:ilvl="8" w:tplc="1809001B" w:tentative="1">
      <w:start w:val="1"/>
      <w:numFmt w:val="lowerRoman"/>
      <w:lvlText w:val="%9."/>
      <w:lvlJc w:val="right"/>
      <w:pPr>
        <w:ind w:left="6177" w:hanging="180"/>
      </w:pPr>
    </w:lvl>
  </w:abstractNum>
  <w:abstractNum w:abstractNumId="1"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4"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3B48B4"/>
    <w:multiLevelType w:val="hybridMultilevel"/>
    <w:tmpl w:val="54E2E88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9"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20"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6"/>
  </w:num>
  <w:num w:numId="2">
    <w:abstractNumId w:val="12"/>
  </w:num>
  <w:num w:numId="3">
    <w:abstractNumId w:val="6"/>
  </w:num>
  <w:num w:numId="4">
    <w:abstractNumId w:val="9"/>
  </w:num>
  <w:num w:numId="5">
    <w:abstractNumId w:val="3"/>
  </w:num>
  <w:num w:numId="6">
    <w:abstractNumId w:val="20"/>
  </w:num>
  <w:num w:numId="7">
    <w:abstractNumId w:val="1"/>
  </w:num>
  <w:num w:numId="8">
    <w:abstractNumId w:val="8"/>
  </w:num>
  <w:num w:numId="9">
    <w:abstractNumId w:val="10"/>
  </w:num>
  <w:num w:numId="10">
    <w:abstractNumId w:val="21"/>
  </w:num>
  <w:num w:numId="11">
    <w:abstractNumId w:val="4"/>
  </w:num>
  <w:num w:numId="12">
    <w:abstractNumId w:val="18"/>
  </w:num>
  <w:num w:numId="13">
    <w:abstractNumId w:val="7"/>
  </w:num>
  <w:num w:numId="14">
    <w:abstractNumId w:val="19"/>
  </w:num>
  <w:num w:numId="15">
    <w:abstractNumId w:val="15"/>
  </w:num>
  <w:num w:numId="16">
    <w:abstractNumId w:val="11"/>
  </w:num>
  <w:num w:numId="17">
    <w:abstractNumId w:val="13"/>
  </w:num>
  <w:num w:numId="18">
    <w:abstractNumId w:val="5"/>
  </w:num>
  <w:num w:numId="19">
    <w:abstractNumId w:val="14"/>
  </w:num>
  <w:num w:numId="20">
    <w:abstractNumId w:val="2"/>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characterSpacingControl w:val="doNotCompress"/>
  <w:hdrShapeDefaults>
    <o:shapedefaults v:ext="edit" spidmax="31745"/>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70520"/>
    <w:rsid w:val="00000DFE"/>
    <w:rsid w:val="0000110E"/>
    <w:rsid w:val="00001373"/>
    <w:rsid w:val="00001C2D"/>
    <w:rsid w:val="000027FC"/>
    <w:rsid w:val="0000286C"/>
    <w:rsid w:val="00002BC8"/>
    <w:rsid w:val="00002C98"/>
    <w:rsid w:val="0000301B"/>
    <w:rsid w:val="0000383B"/>
    <w:rsid w:val="0000399D"/>
    <w:rsid w:val="0000404C"/>
    <w:rsid w:val="000042AD"/>
    <w:rsid w:val="00004B90"/>
    <w:rsid w:val="000052BA"/>
    <w:rsid w:val="00006224"/>
    <w:rsid w:val="00006670"/>
    <w:rsid w:val="00006A9F"/>
    <w:rsid w:val="00006CC1"/>
    <w:rsid w:val="000075D4"/>
    <w:rsid w:val="00007DBA"/>
    <w:rsid w:val="00007FAA"/>
    <w:rsid w:val="000100F8"/>
    <w:rsid w:val="00011115"/>
    <w:rsid w:val="000113A3"/>
    <w:rsid w:val="00012EFF"/>
    <w:rsid w:val="00013048"/>
    <w:rsid w:val="000130E1"/>
    <w:rsid w:val="000140E9"/>
    <w:rsid w:val="00014301"/>
    <w:rsid w:val="00015BD2"/>
    <w:rsid w:val="00015E46"/>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98D"/>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210"/>
    <w:rsid w:val="00041403"/>
    <w:rsid w:val="00041FF2"/>
    <w:rsid w:val="00042094"/>
    <w:rsid w:val="000423DF"/>
    <w:rsid w:val="0004246B"/>
    <w:rsid w:val="000429C5"/>
    <w:rsid w:val="00042AE0"/>
    <w:rsid w:val="00042B2F"/>
    <w:rsid w:val="00042FF4"/>
    <w:rsid w:val="0004357D"/>
    <w:rsid w:val="00044778"/>
    <w:rsid w:val="00044906"/>
    <w:rsid w:val="00044952"/>
    <w:rsid w:val="00044D80"/>
    <w:rsid w:val="00044EE1"/>
    <w:rsid w:val="0004535A"/>
    <w:rsid w:val="000455C8"/>
    <w:rsid w:val="00045956"/>
    <w:rsid w:val="00045CBB"/>
    <w:rsid w:val="00046430"/>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9EE"/>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115F"/>
    <w:rsid w:val="00081637"/>
    <w:rsid w:val="00081B5B"/>
    <w:rsid w:val="00081E35"/>
    <w:rsid w:val="00082957"/>
    <w:rsid w:val="00082F02"/>
    <w:rsid w:val="00083670"/>
    <w:rsid w:val="00083730"/>
    <w:rsid w:val="000839F8"/>
    <w:rsid w:val="0008483E"/>
    <w:rsid w:val="00084C50"/>
    <w:rsid w:val="00084F66"/>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CDA"/>
    <w:rsid w:val="000A7D05"/>
    <w:rsid w:val="000B0303"/>
    <w:rsid w:val="000B0AC9"/>
    <w:rsid w:val="000B12E7"/>
    <w:rsid w:val="000B2B80"/>
    <w:rsid w:val="000B3396"/>
    <w:rsid w:val="000B4123"/>
    <w:rsid w:val="000B4245"/>
    <w:rsid w:val="000B43C2"/>
    <w:rsid w:val="000B43C4"/>
    <w:rsid w:val="000B4E75"/>
    <w:rsid w:val="000B5CB2"/>
    <w:rsid w:val="000B6E72"/>
    <w:rsid w:val="000B718A"/>
    <w:rsid w:val="000B75A2"/>
    <w:rsid w:val="000C0537"/>
    <w:rsid w:val="000C0F74"/>
    <w:rsid w:val="000C1365"/>
    <w:rsid w:val="000C151E"/>
    <w:rsid w:val="000C1555"/>
    <w:rsid w:val="000C167E"/>
    <w:rsid w:val="000C188A"/>
    <w:rsid w:val="000C1A01"/>
    <w:rsid w:val="000C1CE6"/>
    <w:rsid w:val="000C2754"/>
    <w:rsid w:val="000C2D93"/>
    <w:rsid w:val="000C32E5"/>
    <w:rsid w:val="000C3339"/>
    <w:rsid w:val="000C36BC"/>
    <w:rsid w:val="000C3E3A"/>
    <w:rsid w:val="000C3F6D"/>
    <w:rsid w:val="000C3F9D"/>
    <w:rsid w:val="000C46C6"/>
    <w:rsid w:val="000C4CD0"/>
    <w:rsid w:val="000C4D6C"/>
    <w:rsid w:val="000C5014"/>
    <w:rsid w:val="000C5140"/>
    <w:rsid w:val="000C537A"/>
    <w:rsid w:val="000C58BE"/>
    <w:rsid w:val="000C5F2D"/>
    <w:rsid w:val="000C6010"/>
    <w:rsid w:val="000C6981"/>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4B0"/>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8C"/>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9E6"/>
    <w:rsid w:val="00131C6B"/>
    <w:rsid w:val="00131C6F"/>
    <w:rsid w:val="001320CE"/>
    <w:rsid w:val="001324BF"/>
    <w:rsid w:val="00132E65"/>
    <w:rsid w:val="00133865"/>
    <w:rsid w:val="00133B7E"/>
    <w:rsid w:val="00135279"/>
    <w:rsid w:val="0013570A"/>
    <w:rsid w:val="001357A0"/>
    <w:rsid w:val="001357E4"/>
    <w:rsid w:val="001357FB"/>
    <w:rsid w:val="00135E4D"/>
    <w:rsid w:val="00136EEF"/>
    <w:rsid w:val="001373AE"/>
    <w:rsid w:val="0014099E"/>
    <w:rsid w:val="00140FAB"/>
    <w:rsid w:val="0014127A"/>
    <w:rsid w:val="00141329"/>
    <w:rsid w:val="0014297E"/>
    <w:rsid w:val="0014353B"/>
    <w:rsid w:val="001443A2"/>
    <w:rsid w:val="00144720"/>
    <w:rsid w:val="00144D8D"/>
    <w:rsid w:val="00144EC0"/>
    <w:rsid w:val="00144F90"/>
    <w:rsid w:val="001454CE"/>
    <w:rsid w:val="001468E1"/>
    <w:rsid w:val="00146A39"/>
    <w:rsid w:val="00146ABE"/>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4F00"/>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959"/>
    <w:rsid w:val="00177B57"/>
    <w:rsid w:val="0018022A"/>
    <w:rsid w:val="00180447"/>
    <w:rsid w:val="001808C2"/>
    <w:rsid w:val="00180A6B"/>
    <w:rsid w:val="00181102"/>
    <w:rsid w:val="00181292"/>
    <w:rsid w:val="001814CD"/>
    <w:rsid w:val="00182349"/>
    <w:rsid w:val="00182B1B"/>
    <w:rsid w:val="0018312E"/>
    <w:rsid w:val="001833E0"/>
    <w:rsid w:val="00183E1E"/>
    <w:rsid w:val="00184338"/>
    <w:rsid w:val="00185527"/>
    <w:rsid w:val="00185625"/>
    <w:rsid w:val="001859E1"/>
    <w:rsid w:val="00185A6B"/>
    <w:rsid w:val="0018623D"/>
    <w:rsid w:val="0018657F"/>
    <w:rsid w:val="00187500"/>
    <w:rsid w:val="0018777A"/>
    <w:rsid w:val="00187C4E"/>
    <w:rsid w:val="00187D34"/>
    <w:rsid w:val="00187D91"/>
    <w:rsid w:val="00187E68"/>
    <w:rsid w:val="001901FB"/>
    <w:rsid w:val="00190414"/>
    <w:rsid w:val="00191254"/>
    <w:rsid w:val="00191776"/>
    <w:rsid w:val="001922C4"/>
    <w:rsid w:val="0019251B"/>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07E"/>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0AB0"/>
    <w:rsid w:val="001E102A"/>
    <w:rsid w:val="001E16CD"/>
    <w:rsid w:val="001E1949"/>
    <w:rsid w:val="001E1BE0"/>
    <w:rsid w:val="001E1C2E"/>
    <w:rsid w:val="001E1D4E"/>
    <w:rsid w:val="001E2322"/>
    <w:rsid w:val="001E2590"/>
    <w:rsid w:val="001E2B6E"/>
    <w:rsid w:val="001E35B5"/>
    <w:rsid w:val="001E3EBA"/>
    <w:rsid w:val="001E4054"/>
    <w:rsid w:val="001E4409"/>
    <w:rsid w:val="001E5208"/>
    <w:rsid w:val="001E55F9"/>
    <w:rsid w:val="001E5CD4"/>
    <w:rsid w:val="001E5D4E"/>
    <w:rsid w:val="001E6DEC"/>
    <w:rsid w:val="001E7A08"/>
    <w:rsid w:val="001F03D2"/>
    <w:rsid w:val="001F0885"/>
    <w:rsid w:val="001F1CA3"/>
    <w:rsid w:val="001F204B"/>
    <w:rsid w:val="001F21B5"/>
    <w:rsid w:val="001F2B08"/>
    <w:rsid w:val="001F3184"/>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38E"/>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B2F"/>
    <w:rsid w:val="00224CED"/>
    <w:rsid w:val="00225F04"/>
    <w:rsid w:val="00226339"/>
    <w:rsid w:val="002264FC"/>
    <w:rsid w:val="00226676"/>
    <w:rsid w:val="00226A25"/>
    <w:rsid w:val="002270D8"/>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19C4"/>
    <w:rsid w:val="002420B6"/>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21E"/>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B3A"/>
    <w:rsid w:val="00263C82"/>
    <w:rsid w:val="00264559"/>
    <w:rsid w:val="0026488B"/>
    <w:rsid w:val="002649D8"/>
    <w:rsid w:val="00265582"/>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0994"/>
    <w:rsid w:val="002B1272"/>
    <w:rsid w:val="002B14D3"/>
    <w:rsid w:val="002B215D"/>
    <w:rsid w:val="002B25BE"/>
    <w:rsid w:val="002B2AE9"/>
    <w:rsid w:val="002B2D63"/>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4E1"/>
    <w:rsid w:val="002D5E0F"/>
    <w:rsid w:val="002D5E99"/>
    <w:rsid w:val="002D6380"/>
    <w:rsid w:val="002D6760"/>
    <w:rsid w:val="002D6ED1"/>
    <w:rsid w:val="002D7168"/>
    <w:rsid w:val="002D749A"/>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4B7"/>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2D35"/>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2AFF"/>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3"/>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403"/>
    <w:rsid w:val="0033191E"/>
    <w:rsid w:val="00332682"/>
    <w:rsid w:val="00333C6C"/>
    <w:rsid w:val="0033412C"/>
    <w:rsid w:val="003343D3"/>
    <w:rsid w:val="0033442E"/>
    <w:rsid w:val="00334C43"/>
    <w:rsid w:val="003352FB"/>
    <w:rsid w:val="00335A3E"/>
    <w:rsid w:val="00335D1C"/>
    <w:rsid w:val="00335ED4"/>
    <w:rsid w:val="00336101"/>
    <w:rsid w:val="003369DD"/>
    <w:rsid w:val="00337014"/>
    <w:rsid w:val="00337CFB"/>
    <w:rsid w:val="003403C4"/>
    <w:rsid w:val="00340423"/>
    <w:rsid w:val="00340B2C"/>
    <w:rsid w:val="00341D20"/>
    <w:rsid w:val="00341DDC"/>
    <w:rsid w:val="0034486E"/>
    <w:rsid w:val="00344B7C"/>
    <w:rsid w:val="0034508A"/>
    <w:rsid w:val="00345606"/>
    <w:rsid w:val="00345C2A"/>
    <w:rsid w:val="00346347"/>
    <w:rsid w:val="0034651E"/>
    <w:rsid w:val="00347478"/>
    <w:rsid w:val="00347676"/>
    <w:rsid w:val="0034775A"/>
    <w:rsid w:val="0034781B"/>
    <w:rsid w:val="00347873"/>
    <w:rsid w:val="00347EB8"/>
    <w:rsid w:val="00347EBB"/>
    <w:rsid w:val="00350395"/>
    <w:rsid w:val="003509B6"/>
    <w:rsid w:val="00350FFB"/>
    <w:rsid w:val="0035113E"/>
    <w:rsid w:val="00351622"/>
    <w:rsid w:val="0035185A"/>
    <w:rsid w:val="00351869"/>
    <w:rsid w:val="00351AFF"/>
    <w:rsid w:val="00351C6E"/>
    <w:rsid w:val="00351F86"/>
    <w:rsid w:val="00352496"/>
    <w:rsid w:val="00352644"/>
    <w:rsid w:val="0035271D"/>
    <w:rsid w:val="003531F3"/>
    <w:rsid w:val="003533D7"/>
    <w:rsid w:val="0035372C"/>
    <w:rsid w:val="00353E3F"/>
    <w:rsid w:val="00353E6E"/>
    <w:rsid w:val="00354038"/>
    <w:rsid w:val="00354C18"/>
    <w:rsid w:val="00355756"/>
    <w:rsid w:val="0035576B"/>
    <w:rsid w:val="00355D22"/>
    <w:rsid w:val="003562B6"/>
    <w:rsid w:val="00356462"/>
    <w:rsid w:val="0035648B"/>
    <w:rsid w:val="003573EC"/>
    <w:rsid w:val="00357AF1"/>
    <w:rsid w:val="00357BB8"/>
    <w:rsid w:val="00357C01"/>
    <w:rsid w:val="0036012F"/>
    <w:rsid w:val="00361115"/>
    <w:rsid w:val="003611F0"/>
    <w:rsid w:val="00361370"/>
    <w:rsid w:val="0036156F"/>
    <w:rsid w:val="00361978"/>
    <w:rsid w:val="00361D63"/>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AF0"/>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4C9"/>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6E0"/>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73C"/>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75D"/>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D84"/>
    <w:rsid w:val="00421E26"/>
    <w:rsid w:val="004224F9"/>
    <w:rsid w:val="00422DE1"/>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5F76"/>
    <w:rsid w:val="00456387"/>
    <w:rsid w:val="00460B21"/>
    <w:rsid w:val="00460BA1"/>
    <w:rsid w:val="00460C34"/>
    <w:rsid w:val="004611B1"/>
    <w:rsid w:val="0046141D"/>
    <w:rsid w:val="0046163F"/>
    <w:rsid w:val="004616F3"/>
    <w:rsid w:val="00461ABE"/>
    <w:rsid w:val="00461B4E"/>
    <w:rsid w:val="00461EDE"/>
    <w:rsid w:val="00461FB8"/>
    <w:rsid w:val="004628A4"/>
    <w:rsid w:val="00462AFF"/>
    <w:rsid w:val="00462CD0"/>
    <w:rsid w:val="00462E9D"/>
    <w:rsid w:val="0046520A"/>
    <w:rsid w:val="004663B0"/>
    <w:rsid w:val="00466417"/>
    <w:rsid w:val="00466A16"/>
    <w:rsid w:val="00466CA3"/>
    <w:rsid w:val="0046710B"/>
    <w:rsid w:val="004676B8"/>
    <w:rsid w:val="0046773C"/>
    <w:rsid w:val="00467A7D"/>
    <w:rsid w:val="00470095"/>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3DA2"/>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09B"/>
    <w:rsid w:val="004A6395"/>
    <w:rsid w:val="004A69A0"/>
    <w:rsid w:val="004A6CEE"/>
    <w:rsid w:val="004A752B"/>
    <w:rsid w:val="004A76EB"/>
    <w:rsid w:val="004A7854"/>
    <w:rsid w:val="004A788B"/>
    <w:rsid w:val="004A79DB"/>
    <w:rsid w:val="004A7B2C"/>
    <w:rsid w:val="004B1CD5"/>
    <w:rsid w:val="004B22F3"/>
    <w:rsid w:val="004B26FE"/>
    <w:rsid w:val="004B2FC9"/>
    <w:rsid w:val="004B31C9"/>
    <w:rsid w:val="004B3D19"/>
    <w:rsid w:val="004B3E45"/>
    <w:rsid w:val="004B4069"/>
    <w:rsid w:val="004B4355"/>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AA4"/>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7F5"/>
    <w:rsid w:val="004D7A05"/>
    <w:rsid w:val="004D7EFC"/>
    <w:rsid w:val="004E05C6"/>
    <w:rsid w:val="004E09DF"/>
    <w:rsid w:val="004E0B9C"/>
    <w:rsid w:val="004E2C79"/>
    <w:rsid w:val="004E2EAA"/>
    <w:rsid w:val="004E2EC7"/>
    <w:rsid w:val="004E39C0"/>
    <w:rsid w:val="004E55D4"/>
    <w:rsid w:val="004E5CF6"/>
    <w:rsid w:val="004E6453"/>
    <w:rsid w:val="004E6557"/>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6B9"/>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49A"/>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60B"/>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293"/>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6457"/>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4AF"/>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01D"/>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82B"/>
    <w:rsid w:val="005C70F2"/>
    <w:rsid w:val="005C7738"/>
    <w:rsid w:val="005D00F6"/>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36A"/>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2025"/>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4CD0"/>
    <w:rsid w:val="00615119"/>
    <w:rsid w:val="006151C3"/>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0E7C"/>
    <w:rsid w:val="006415AD"/>
    <w:rsid w:val="006425BB"/>
    <w:rsid w:val="00642A4D"/>
    <w:rsid w:val="00642BEF"/>
    <w:rsid w:val="006449A3"/>
    <w:rsid w:val="00645112"/>
    <w:rsid w:val="0064518F"/>
    <w:rsid w:val="0064569F"/>
    <w:rsid w:val="006462EA"/>
    <w:rsid w:val="00646827"/>
    <w:rsid w:val="00646BEC"/>
    <w:rsid w:val="006474A7"/>
    <w:rsid w:val="00647683"/>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5F9A"/>
    <w:rsid w:val="0066681B"/>
    <w:rsid w:val="00667B64"/>
    <w:rsid w:val="0067036F"/>
    <w:rsid w:val="006705C3"/>
    <w:rsid w:val="00670B37"/>
    <w:rsid w:val="00670D42"/>
    <w:rsid w:val="00671CBE"/>
    <w:rsid w:val="00671EE9"/>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019"/>
    <w:rsid w:val="00680848"/>
    <w:rsid w:val="00681073"/>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31"/>
    <w:rsid w:val="00693D85"/>
    <w:rsid w:val="00693F06"/>
    <w:rsid w:val="00693F8A"/>
    <w:rsid w:val="00694703"/>
    <w:rsid w:val="0069548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0E00"/>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12"/>
    <w:rsid w:val="006A623A"/>
    <w:rsid w:val="006A6913"/>
    <w:rsid w:val="006A774E"/>
    <w:rsid w:val="006A7C46"/>
    <w:rsid w:val="006B0C9B"/>
    <w:rsid w:val="006B18F3"/>
    <w:rsid w:val="006B1B8B"/>
    <w:rsid w:val="006B2262"/>
    <w:rsid w:val="006B2697"/>
    <w:rsid w:val="006B3971"/>
    <w:rsid w:val="006B39C5"/>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4B2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3F73"/>
    <w:rsid w:val="006D40AD"/>
    <w:rsid w:val="006D4588"/>
    <w:rsid w:val="006D45AD"/>
    <w:rsid w:val="006D4760"/>
    <w:rsid w:val="006D4EDE"/>
    <w:rsid w:val="006D4EEF"/>
    <w:rsid w:val="006D4F46"/>
    <w:rsid w:val="006D569B"/>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C70"/>
    <w:rsid w:val="006E5E44"/>
    <w:rsid w:val="006E6A39"/>
    <w:rsid w:val="006E6A47"/>
    <w:rsid w:val="006E6D66"/>
    <w:rsid w:val="006E6FE4"/>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64"/>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812"/>
    <w:rsid w:val="00705A10"/>
    <w:rsid w:val="00706313"/>
    <w:rsid w:val="00706DB3"/>
    <w:rsid w:val="00706E30"/>
    <w:rsid w:val="00707222"/>
    <w:rsid w:val="0070766A"/>
    <w:rsid w:val="007077F3"/>
    <w:rsid w:val="00707A30"/>
    <w:rsid w:val="0071010E"/>
    <w:rsid w:val="00710385"/>
    <w:rsid w:val="007103AB"/>
    <w:rsid w:val="00710418"/>
    <w:rsid w:val="007107C0"/>
    <w:rsid w:val="00710BEF"/>
    <w:rsid w:val="00710F0D"/>
    <w:rsid w:val="00711619"/>
    <w:rsid w:val="00711ACB"/>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0DEB"/>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31C"/>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72"/>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56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496E"/>
    <w:rsid w:val="00775558"/>
    <w:rsid w:val="00775EF0"/>
    <w:rsid w:val="00775FDF"/>
    <w:rsid w:val="007760A9"/>
    <w:rsid w:val="0077627D"/>
    <w:rsid w:val="00776377"/>
    <w:rsid w:val="007763E8"/>
    <w:rsid w:val="0077730A"/>
    <w:rsid w:val="0078074D"/>
    <w:rsid w:val="00780899"/>
    <w:rsid w:val="00780BB8"/>
    <w:rsid w:val="00780F14"/>
    <w:rsid w:val="00780F90"/>
    <w:rsid w:val="00782A80"/>
    <w:rsid w:val="00782AD4"/>
    <w:rsid w:val="00782FE2"/>
    <w:rsid w:val="00783973"/>
    <w:rsid w:val="0078448B"/>
    <w:rsid w:val="00784585"/>
    <w:rsid w:val="007845EA"/>
    <w:rsid w:val="00785120"/>
    <w:rsid w:val="007853FB"/>
    <w:rsid w:val="0078549B"/>
    <w:rsid w:val="007865D5"/>
    <w:rsid w:val="00786BC2"/>
    <w:rsid w:val="00786CEA"/>
    <w:rsid w:val="00787164"/>
    <w:rsid w:val="0078779E"/>
    <w:rsid w:val="00787C5D"/>
    <w:rsid w:val="00790020"/>
    <w:rsid w:val="007904EB"/>
    <w:rsid w:val="00790C6F"/>
    <w:rsid w:val="00791110"/>
    <w:rsid w:val="007919D4"/>
    <w:rsid w:val="00791BA0"/>
    <w:rsid w:val="00791D29"/>
    <w:rsid w:val="0079279E"/>
    <w:rsid w:val="00793531"/>
    <w:rsid w:val="007943B7"/>
    <w:rsid w:val="007947A6"/>
    <w:rsid w:val="00794EB9"/>
    <w:rsid w:val="00795AB3"/>
    <w:rsid w:val="00795AB4"/>
    <w:rsid w:val="00795B77"/>
    <w:rsid w:val="00796F26"/>
    <w:rsid w:val="00796FBF"/>
    <w:rsid w:val="007973E5"/>
    <w:rsid w:val="007978B7"/>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1EA7"/>
    <w:rsid w:val="007B2565"/>
    <w:rsid w:val="007B281B"/>
    <w:rsid w:val="007B2B10"/>
    <w:rsid w:val="007B309C"/>
    <w:rsid w:val="007B3C78"/>
    <w:rsid w:val="007B4188"/>
    <w:rsid w:val="007B5428"/>
    <w:rsid w:val="007B5809"/>
    <w:rsid w:val="007B5970"/>
    <w:rsid w:val="007B62ED"/>
    <w:rsid w:val="007B63BD"/>
    <w:rsid w:val="007B646E"/>
    <w:rsid w:val="007B647E"/>
    <w:rsid w:val="007B68B2"/>
    <w:rsid w:val="007B6AEC"/>
    <w:rsid w:val="007B6D59"/>
    <w:rsid w:val="007B70BE"/>
    <w:rsid w:val="007B7195"/>
    <w:rsid w:val="007B72F2"/>
    <w:rsid w:val="007B74EC"/>
    <w:rsid w:val="007C1CAF"/>
    <w:rsid w:val="007C1E57"/>
    <w:rsid w:val="007C219B"/>
    <w:rsid w:val="007C23EE"/>
    <w:rsid w:val="007C285A"/>
    <w:rsid w:val="007C286A"/>
    <w:rsid w:val="007C33F1"/>
    <w:rsid w:val="007C3528"/>
    <w:rsid w:val="007C36F9"/>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0FFB"/>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1F6"/>
    <w:rsid w:val="008237D8"/>
    <w:rsid w:val="00823F49"/>
    <w:rsid w:val="00824A15"/>
    <w:rsid w:val="0082504B"/>
    <w:rsid w:val="00825B6F"/>
    <w:rsid w:val="00826863"/>
    <w:rsid w:val="00826B4B"/>
    <w:rsid w:val="008273B5"/>
    <w:rsid w:val="008308FC"/>
    <w:rsid w:val="00830920"/>
    <w:rsid w:val="00830C51"/>
    <w:rsid w:val="00830E4F"/>
    <w:rsid w:val="008313C2"/>
    <w:rsid w:val="00831AB4"/>
    <w:rsid w:val="0083240C"/>
    <w:rsid w:val="00832B1D"/>
    <w:rsid w:val="00833169"/>
    <w:rsid w:val="00833174"/>
    <w:rsid w:val="00833304"/>
    <w:rsid w:val="00833B89"/>
    <w:rsid w:val="00833D4C"/>
    <w:rsid w:val="00834161"/>
    <w:rsid w:val="0083458E"/>
    <w:rsid w:val="008346A2"/>
    <w:rsid w:val="00834D73"/>
    <w:rsid w:val="00835165"/>
    <w:rsid w:val="008351B9"/>
    <w:rsid w:val="00835419"/>
    <w:rsid w:val="00835514"/>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50F7"/>
    <w:rsid w:val="00845475"/>
    <w:rsid w:val="00845EEC"/>
    <w:rsid w:val="0084668A"/>
    <w:rsid w:val="00847625"/>
    <w:rsid w:val="008506BC"/>
    <w:rsid w:val="00850D8F"/>
    <w:rsid w:val="008510DE"/>
    <w:rsid w:val="008513F9"/>
    <w:rsid w:val="008519EC"/>
    <w:rsid w:val="00852045"/>
    <w:rsid w:val="008521C3"/>
    <w:rsid w:val="0085228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4A74"/>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4E9C"/>
    <w:rsid w:val="008854E7"/>
    <w:rsid w:val="008860AD"/>
    <w:rsid w:val="0088612A"/>
    <w:rsid w:val="00886477"/>
    <w:rsid w:val="008866C3"/>
    <w:rsid w:val="00886E53"/>
    <w:rsid w:val="0088711C"/>
    <w:rsid w:val="008876C8"/>
    <w:rsid w:val="008879B5"/>
    <w:rsid w:val="00887BA3"/>
    <w:rsid w:val="0089060B"/>
    <w:rsid w:val="008907ED"/>
    <w:rsid w:val="00890829"/>
    <w:rsid w:val="00890AB5"/>
    <w:rsid w:val="00891381"/>
    <w:rsid w:val="008915FB"/>
    <w:rsid w:val="008924DD"/>
    <w:rsid w:val="00892F2E"/>
    <w:rsid w:val="00893054"/>
    <w:rsid w:val="008930AC"/>
    <w:rsid w:val="00894592"/>
    <w:rsid w:val="00894A0E"/>
    <w:rsid w:val="00895299"/>
    <w:rsid w:val="00895731"/>
    <w:rsid w:val="00895993"/>
    <w:rsid w:val="00895E35"/>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046"/>
    <w:rsid w:val="008B2241"/>
    <w:rsid w:val="008B26DE"/>
    <w:rsid w:val="008B3767"/>
    <w:rsid w:val="008B396A"/>
    <w:rsid w:val="008B3DCD"/>
    <w:rsid w:val="008B41AA"/>
    <w:rsid w:val="008B4406"/>
    <w:rsid w:val="008B49F2"/>
    <w:rsid w:val="008B4ACF"/>
    <w:rsid w:val="008B4CE5"/>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0FCB"/>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5CA"/>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680B"/>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176"/>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1D0"/>
    <w:rsid w:val="009375DE"/>
    <w:rsid w:val="009379F8"/>
    <w:rsid w:val="00937DCA"/>
    <w:rsid w:val="00937F3D"/>
    <w:rsid w:val="00940437"/>
    <w:rsid w:val="00940584"/>
    <w:rsid w:val="009411F3"/>
    <w:rsid w:val="00941677"/>
    <w:rsid w:val="00941DB6"/>
    <w:rsid w:val="0094264C"/>
    <w:rsid w:val="00942BC6"/>
    <w:rsid w:val="00942DAC"/>
    <w:rsid w:val="009431E7"/>
    <w:rsid w:val="00944734"/>
    <w:rsid w:val="00944B0C"/>
    <w:rsid w:val="009451EB"/>
    <w:rsid w:val="0094540E"/>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20E"/>
    <w:rsid w:val="0096233B"/>
    <w:rsid w:val="00962372"/>
    <w:rsid w:val="00962FDB"/>
    <w:rsid w:val="00963053"/>
    <w:rsid w:val="0096338E"/>
    <w:rsid w:val="009638F4"/>
    <w:rsid w:val="00964015"/>
    <w:rsid w:val="0096412B"/>
    <w:rsid w:val="00964746"/>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97663"/>
    <w:rsid w:val="009A02A6"/>
    <w:rsid w:val="009A02FF"/>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211C"/>
    <w:rsid w:val="009C3D37"/>
    <w:rsid w:val="009C42EF"/>
    <w:rsid w:val="009C4490"/>
    <w:rsid w:val="009C5177"/>
    <w:rsid w:val="009C5298"/>
    <w:rsid w:val="009C58E0"/>
    <w:rsid w:val="009C59E5"/>
    <w:rsid w:val="009C641F"/>
    <w:rsid w:val="009C674A"/>
    <w:rsid w:val="009C6889"/>
    <w:rsid w:val="009C734A"/>
    <w:rsid w:val="009C79B6"/>
    <w:rsid w:val="009D056A"/>
    <w:rsid w:val="009D09DF"/>
    <w:rsid w:val="009D0AE2"/>
    <w:rsid w:val="009D1E9F"/>
    <w:rsid w:val="009D28CA"/>
    <w:rsid w:val="009D379C"/>
    <w:rsid w:val="009D496B"/>
    <w:rsid w:val="009D4F85"/>
    <w:rsid w:val="009D51E7"/>
    <w:rsid w:val="009D5820"/>
    <w:rsid w:val="009D6D15"/>
    <w:rsid w:val="009D716B"/>
    <w:rsid w:val="009D71D8"/>
    <w:rsid w:val="009D7409"/>
    <w:rsid w:val="009D7941"/>
    <w:rsid w:val="009E0601"/>
    <w:rsid w:val="009E0E2C"/>
    <w:rsid w:val="009E0F44"/>
    <w:rsid w:val="009E0FCB"/>
    <w:rsid w:val="009E1520"/>
    <w:rsid w:val="009E23D6"/>
    <w:rsid w:val="009E27C3"/>
    <w:rsid w:val="009E2EC7"/>
    <w:rsid w:val="009E3461"/>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199"/>
    <w:rsid w:val="009F2395"/>
    <w:rsid w:val="009F250C"/>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2F30"/>
    <w:rsid w:val="00A03164"/>
    <w:rsid w:val="00A03572"/>
    <w:rsid w:val="00A036E0"/>
    <w:rsid w:val="00A03F52"/>
    <w:rsid w:val="00A05336"/>
    <w:rsid w:val="00A0563A"/>
    <w:rsid w:val="00A06781"/>
    <w:rsid w:val="00A07376"/>
    <w:rsid w:val="00A07423"/>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1FB"/>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5D5E"/>
    <w:rsid w:val="00A26BA1"/>
    <w:rsid w:val="00A26BDE"/>
    <w:rsid w:val="00A274C1"/>
    <w:rsid w:val="00A27814"/>
    <w:rsid w:val="00A308BE"/>
    <w:rsid w:val="00A30CA2"/>
    <w:rsid w:val="00A30DCC"/>
    <w:rsid w:val="00A31346"/>
    <w:rsid w:val="00A31701"/>
    <w:rsid w:val="00A31811"/>
    <w:rsid w:val="00A31877"/>
    <w:rsid w:val="00A31E24"/>
    <w:rsid w:val="00A3267F"/>
    <w:rsid w:val="00A32E37"/>
    <w:rsid w:val="00A32F9C"/>
    <w:rsid w:val="00A3345A"/>
    <w:rsid w:val="00A337E3"/>
    <w:rsid w:val="00A3415F"/>
    <w:rsid w:val="00A34740"/>
    <w:rsid w:val="00A34A8B"/>
    <w:rsid w:val="00A3583F"/>
    <w:rsid w:val="00A362B1"/>
    <w:rsid w:val="00A36F7E"/>
    <w:rsid w:val="00A3712B"/>
    <w:rsid w:val="00A378A0"/>
    <w:rsid w:val="00A404EA"/>
    <w:rsid w:val="00A40916"/>
    <w:rsid w:val="00A41388"/>
    <w:rsid w:val="00A41439"/>
    <w:rsid w:val="00A414E5"/>
    <w:rsid w:val="00A41A0E"/>
    <w:rsid w:val="00A41BAA"/>
    <w:rsid w:val="00A41C00"/>
    <w:rsid w:val="00A41D32"/>
    <w:rsid w:val="00A4295C"/>
    <w:rsid w:val="00A42F14"/>
    <w:rsid w:val="00A42FAF"/>
    <w:rsid w:val="00A436BF"/>
    <w:rsid w:val="00A43D4E"/>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1E0B"/>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82"/>
    <w:rsid w:val="00A71FB0"/>
    <w:rsid w:val="00A725FE"/>
    <w:rsid w:val="00A72897"/>
    <w:rsid w:val="00A72DA5"/>
    <w:rsid w:val="00A737B8"/>
    <w:rsid w:val="00A73A55"/>
    <w:rsid w:val="00A73B0F"/>
    <w:rsid w:val="00A74A11"/>
    <w:rsid w:val="00A74A85"/>
    <w:rsid w:val="00A74DD2"/>
    <w:rsid w:val="00A74E3F"/>
    <w:rsid w:val="00A75001"/>
    <w:rsid w:val="00A75DC0"/>
    <w:rsid w:val="00A75F08"/>
    <w:rsid w:val="00A76014"/>
    <w:rsid w:val="00A76421"/>
    <w:rsid w:val="00A77228"/>
    <w:rsid w:val="00A77A97"/>
    <w:rsid w:val="00A77BA7"/>
    <w:rsid w:val="00A77D38"/>
    <w:rsid w:val="00A80227"/>
    <w:rsid w:val="00A80D4A"/>
    <w:rsid w:val="00A8165A"/>
    <w:rsid w:val="00A81811"/>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2B02"/>
    <w:rsid w:val="00A934A9"/>
    <w:rsid w:val="00A93C20"/>
    <w:rsid w:val="00A93CD8"/>
    <w:rsid w:val="00A94101"/>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02F0"/>
    <w:rsid w:val="00AA0A38"/>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366"/>
    <w:rsid w:val="00AB43E1"/>
    <w:rsid w:val="00AB44E9"/>
    <w:rsid w:val="00AB45DE"/>
    <w:rsid w:val="00AB4C22"/>
    <w:rsid w:val="00AB51E7"/>
    <w:rsid w:val="00AB52B6"/>
    <w:rsid w:val="00AB5310"/>
    <w:rsid w:val="00AB6945"/>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5FD"/>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0"/>
    <w:rsid w:val="00AE347B"/>
    <w:rsid w:val="00AE36CD"/>
    <w:rsid w:val="00AE39AD"/>
    <w:rsid w:val="00AE4ECC"/>
    <w:rsid w:val="00AE53DF"/>
    <w:rsid w:val="00AE5544"/>
    <w:rsid w:val="00AE57A5"/>
    <w:rsid w:val="00AE57C7"/>
    <w:rsid w:val="00AE666B"/>
    <w:rsid w:val="00AE6CDD"/>
    <w:rsid w:val="00AE6D10"/>
    <w:rsid w:val="00AE7157"/>
    <w:rsid w:val="00AE7294"/>
    <w:rsid w:val="00AE7520"/>
    <w:rsid w:val="00AE7DA9"/>
    <w:rsid w:val="00AE7DC7"/>
    <w:rsid w:val="00AF0CD4"/>
    <w:rsid w:val="00AF1476"/>
    <w:rsid w:val="00AF31B2"/>
    <w:rsid w:val="00AF32D6"/>
    <w:rsid w:val="00AF39C3"/>
    <w:rsid w:val="00AF3E3A"/>
    <w:rsid w:val="00AF41C9"/>
    <w:rsid w:val="00AF4A05"/>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843"/>
    <w:rsid w:val="00B22B15"/>
    <w:rsid w:val="00B23240"/>
    <w:rsid w:val="00B234EA"/>
    <w:rsid w:val="00B23E46"/>
    <w:rsid w:val="00B240CF"/>
    <w:rsid w:val="00B24C38"/>
    <w:rsid w:val="00B24C8B"/>
    <w:rsid w:val="00B24D7D"/>
    <w:rsid w:val="00B251C2"/>
    <w:rsid w:val="00B25238"/>
    <w:rsid w:val="00B263B2"/>
    <w:rsid w:val="00B26936"/>
    <w:rsid w:val="00B2718E"/>
    <w:rsid w:val="00B300BD"/>
    <w:rsid w:val="00B30561"/>
    <w:rsid w:val="00B30D66"/>
    <w:rsid w:val="00B31405"/>
    <w:rsid w:val="00B3145F"/>
    <w:rsid w:val="00B3279F"/>
    <w:rsid w:val="00B327D5"/>
    <w:rsid w:val="00B327FB"/>
    <w:rsid w:val="00B334C8"/>
    <w:rsid w:val="00B33DB6"/>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4AE9"/>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2927"/>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36"/>
    <w:rsid w:val="00B979FE"/>
    <w:rsid w:val="00B97F44"/>
    <w:rsid w:val="00BA0489"/>
    <w:rsid w:val="00BA0883"/>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94F"/>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48AD"/>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6F63"/>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07639"/>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5F1E"/>
    <w:rsid w:val="00C460CB"/>
    <w:rsid w:val="00C4633B"/>
    <w:rsid w:val="00C473D6"/>
    <w:rsid w:val="00C47849"/>
    <w:rsid w:val="00C50396"/>
    <w:rsid w:val="00C50BC9"/>
    <w:rsid w:val="00C51CD1"/>
    <w:rsid w:val="00C527B1"/>
    <w:rsid w:val="00C5342E"/>
    <w:rsid w:val="00C537DD"/>
    <w:rsid w:val="00C53D88"/>
    <w:rsid w:val="00C53F85"/>
    <w:rsid w:val="00C54142"/>
    <w:rsid w:val="00C54B4E"/>
    <w:rsid w:val="00C559EA"/>
    <w:rsid w:val="00C55F52"/>
    <w:rsid w:val="00C55FE5"/>
    <w:rsid w:val="00C57B1B"/>
    <w:rsid w:val="00C602B5"/>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67739"/>
    <w:rsid w:val="00C7004D"/>
    <w:rsid w:val="00C70773"/>
    <w:rsid w:val="00C7085B"/>
    <w:rsid w:val="00C70AFF"/>
    <w:rsid w:val="00C712CD"/>
    <w:rsid w:val="00C71793"/>
    <w:rsid w:val="00C71D1A"/>
    <w:rsid w:val="00C723D3"/>
    <w:rsid w:val="00C742AB"/>
    <w:rsid w:val="00C750B2"/>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2C4"/>
    <w:rsid w:val="00C91484"/>
    <w:rsid w:val="00C91B5E"/>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0FD4"/>
    <w:rsid w:val="00CC1129"/>
    <w:rsid w:val="00CC1D9B"/>
    <w:rsid w:val="00CC25DF"/>
    <w:rsid w:val="00CC2ADB"/>
    <w:rsid w:val="00CC30F8"/>
    <w:rsid w:val="00CC41FA"/>
    <w:rsid w:val="00CC47AE"/>
    <w:rsid w:val="00CC7CAD"/>
    <w:rsid w:val="00CC7CD2"/>
    <w:rsid w:val="00CC7E10"/>
    <w:rsid w:val="00CD02B5"/>
    <w:rsid w:val="00CD0429"/>
    <w:rsid w:val="00CD1022"/>
    <w:rsid w:val="00CD1226"/>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6B9"/>
    <w:rsid w:val="00D04CAC"/>
    <w:rsid w:val="00D054D7"/>
    <w:rsid w:val="00D06246"/>
    <w:rsid w:val="00D06738"/>
    <w:rsid w:val="00D06A38"/>
    <w:rsid w:val="00D07C41"/>
    <w:rsid w:val="00D1059E"/>
    <w:rsid w:val="00D1088E"/>
    <w:rsid w:val="00D108F1"/>
    <w:rsid w:val="00D1104F"/>
    <w:rsid w:val="00D1177F"/>
    <w:rsid w:val="00D11CDE"/>
    <w:rsid w:val="00D12036"/>
    <w:rsid w:val="00D121F6"/>
    <w:rsid w:val="00D124C8"/>
    <w:rsid w:val="00D126DD"/>
    <w:rsid w:val="00D12A88"/>
    <w:rsid w:val="00D13123"/>
    <w:rsid w:val="00D13901"/>
    <w:rsid w:val="00D1443A"/>
    <w:rsid w:val="00D14571"/>
    <w:rsid w:val="00D1477F"/>
    <w:rsid w:val="00D14911"/>
    <w:rsid w:val="00D14937"/>
    <w:rsid w:val="00D14A20"/>
    <w:rsid w:val="00D14A51"/>
    <w:rsid w:val="00D14A6B"/>
    <w:rsid w:val="00D14AF8"/>
    <w:rsid w:val="00D152CB"/>
    <w:rsid w:val="00D156BF"/>
    <w:rsid w:val="00D15B1A"/>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0F38"/>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B69"/>
    <w:rsid w:val="00D37DE0"/>
    <w:rsid w:val="00D40981"/>
    <w:rsid w:val="00D409B0"/>
    <w:rsid w:val="00D40EF0"/>
    <w:rsid w:val="00D416A9"/>
    <w:rsid w:val="00D41AF6"/>
    <w:rsid w:val="00D431F2"/>
    <w:rsid w:val="00D44426"/>
    <w:rsid w:val="00D44987"/>
    <w:rsid w:val="00D449C5"/>
    <w:rsid w:val="00D4505B"/>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2CB"/>
    <w:rsid w:val="00D5532B"/>
    <w:rsid w:val="00D566E5"/>
    <w:rsid w:val="00D56A08"/>
    <w:rsid w:val="00D56A63"/>
    <w:rsid w:val="00D56ACD"/>
    <w:rsid w:val="00D56E36"/>
    <w:rsid w:val="00D57CB6"/>
    <w:rsid w:val="00D57CF8"/>
    <w:rsid w:val="00D604C7"/>
    <w:rsid w:val="00D60D30"/>
    <w:rsid w:val="00D615B2"/>
    <w:rsid w:val="00D61E7D"/>
    <w:rsid w:val="00D63E8E"/>
    <w:rsid w:val="00D6402F"/>
    <w:rsid w:val="00D64036"/>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09C"/>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5E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72F"/>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156"/>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6B2B"/>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5FF6"/>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608"/>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74A"/>
    <w:rsid w:val="00DF5D7A"/>
    <w:rsid w:val="00DF6382"/>
    <w:rsid w:val="00DF7263"/>
    <w:rsid w:val="00DF79B3"/>
    <w:rsid w:val="00E00A5C"/>
    <w:rsid w:val="00E00EC6"/>
    <w:rsid w:val="00E01E69"/>
    <w:rsid w:val="00E01F66"/>
    <w:rsid w:val="00E02523"/>
    <w:rsid w:val="00E02D8C"/>
    <w:rsid w:val="00E0300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1E1"/>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3F5"/>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0A0B"/>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6B8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3F78"/>
    <w:rsid w:val="00E743B1"/>
    <w:rsid w:val="00E7497E"/>
    <w:rsid w:val="00E74BD0"/>
    <w:rsid w:val="00E75146"/>
    <w:rsid w:val="00E75448"/>
    <w:rsid w:val="00E7550C"/>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3A31"/>
    <w:rsid w:val="00E942D7"/>
    <w:rsid w:val="00E94357"/>
    <w:rsid w:val="00E954F7"/>
    <w:rsid w:val="00E956DB"/>
    <w:rsid w:val="00E95C6A"/>
    <w:rsid w:val="00E96750"/>
    <w:rsid w:val="00E96DE2"/>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3816"/>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D31"/>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2B73"/>
    <w:rsid w:val="00EC3132"/>
    <w:rsid w:val="00EC482A"/>
    <w:rsid w:val="00EC4D51"/>
    <w:rsid w:val="00EC58F9"/>
    <w:rsid w:val="00EC5CDA"/>
    <w:rsid w:val="00EC6101"/>
    <w:rsid w:val="00EC6FCD"/>
    <w:rsid w:val="00EC7530"/>
    <w:rsid w:val="00EC7C22"/>
    <w:rsid w:val="00EC7FCD"/>
    <w:rsid w:val="00ED018C"/>
    <w:rsid w:val="00ED0503"/>
    <w:rsid w:val="00ED07CB"/>
    <w:rsid w:val="00ED0F73"/>
    <w:rsid w:val="00ED17D7"/>
    <w:rsid w:val="00ED269E"/>
    <w:rsid w:val="00ED38E8"/>
    <w:rsid w:val="00ED3AEF"/>
    <w:rsid w:val="00ED3E9E"/>
    <w:rsid w:val="00ED53D0"/>
    <w:rsid w:val="00ED557C"/>
    <w:rsid w:val="00ED5621"/>
    <w:rsid w:val="00ED608F"/>
    <w:rsid w:val="00ED6288"/>
    <w:rsid w:val="00ED6531"/>
    <w:rsid w:val="00ED6DAE"/>
    <w:rsid w:val="00ED70C6"/>
    <w:rsid w:val="00ED72F6"/>
    <w:rsid w:val="00ED787A"/>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4D5"/>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A8"/>
    <w:rsid w:val="00F13AFF"/>
    <w:rsid w:val="00F153CF"/>
    <w:rsid w:val="00F1574C"/>
    <w:rsid w:val="00F1639F"/>
    <w:rsid w:val="00F16671"/>
    <w:rsid w:val="00F170E3"/>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509"/>
    <w:rsid w:val="00F267BF"/>
    <w:rsid w:val="00F26DE4"/>
    <w:rsid w:val="00F270DF"/>
    <w:rsid w:val="00F2767A"/>
    <w:rsid w:val="00F2790A"/>
    <w:rsid w:val="00F3071B"/>
    <w:rsid w:val="00F30858"/>
    <w:rsid w:val="00F30C00"/>
    <w:rsid w:val="00F30D1D"/>
    <w:rsid w:val="00F30D4F"/>
    <w:rsid w:val="00F3147C"/>
    <w:rsid w:val="00F31C8B"/>
    <w:rsid w:val="00F31F62"/>
    <w:rsid w:val="00F321CD"/>
    <w:rsid w:val="00F32B06"/>
    <w:rsid w:val="00F332F4"/>
    <w:rsid w:val="00F338A8"/>
    <w:rsid w:val="00F33B37"/>
    <w:rsid w:val="00F33B9C"/>
    <w:rsid w:val="00F33E3E"/>
    <w:rsid w:val="00F33E9D"/>
    <w:rsid w:val="00F342CC"/>
    <w:rsid w:val="00F346C1"/>
    <w:rsid w:val="00F34CF0"/>
    <w:rsid w:val="00F354FE"/>
    <w:rsid w:val="00F35D86"/>
    <w:rsid w:val="00F36129"/>
    <w:rsid w:val="00F36609"/>
    <w:rsid w:val="00F36763"/>
    <w:rsid w:val="00F36BF2"/>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5F7"/>
    <w:rsid w:val="00F50D37"/>
    <w:rsid w:val="00F5148E"/>
    <w:rsid w:val="00F51FDD"/>
    <w:rsid w:val="00F5205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690"/>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7CE"/>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A8E"/>
    <w:rsid w:val="00F843AF"/>
    <w:rsid w:val="00F84A73"/>
    <w:rsid w:val="00F85A0B"/>
    <w:rsid w:val="00F85CAD"/>
    <w:rsid w:val="00F86D69"/>
    <w:rsid w:val="00F8718B"/>
    <w:rsid w:val="00F8787A"/>
    <w:rsid w:val="00F90B25"/>
    <w:rsid w:val="00F90E61"/>
    <w:rsid w:val="00F91BF2"/>
    <w:rsid w:val="00F91C4F"/>
    <w:rsid w:val="00F91C9B"/>
    <w:rsid w:val="00F92676"/>
    <w:rsid w:val="00F926C7"/>
    <w:rsid w:val="00F93AB4"/>
    <w:rsid w:val="00F93DDA"/>
    <w:rsid w:val="00F93E54"/>
    <w:rsid w:val="00F942FA"/>
    <w:rsid w:val="00F946A5"/>
    <w:rsid w:val="00F9474F"/>
    <w:rsid w:val="00F94ABE"/>
    <w:rsid w:val="00F95283"/>
    <w:rsid w:val="00F96173"/>
    <w:rsid w:val="00F96679"/>
    <w:rsid w:val="00F96B50"/>
    <w:rsid w:val="00F96F94"/>
    <w:rsid w:val="00F971B6"/>
    <w:rsid w:val="00F9725D"/>
    <w:rsid w:val="00F9725F"/>
    <w:rsid w:val="00F97471"/>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931"/>
    <w:rsid w:val="00FC6A32"/>
    <w:rsid w:val="00FC6B1A"/>
    <w:rsid w:val="00FC7207"/>
    <w:rsid w:val="00FD0121"/>
    <w:rsid w:val="00FD0159"/>
    <w:rsid w:val="00FD0B60"/>
    <w:rsid w:val="00FD0D13"/>
    <w:rsid w:val="00FD1746"/>
    <w:rsid w:val="00FD2168"/>
    <w:rsid w:val="00FD25FA"/>
    <w:rsid w:val="00FD27E9"/>
    <w:rsid w:val="00FD31FC"/>
    <w:rsid w:val="00FD3210"/>
    <w:rsid w:val="00FD5237"/>
    <w:rsid w:val="00FD5354"/>
    <w:rsid w:val="00FD540A"/>
    <w:rsid w:val="00FD55DE"/>
    <w:rsid w:val="00FD5878"/>
    <w:rsid w:val="00FD5FF2"/>
    <w:rsid w:val="00FD7DFE"/>
    <w:rsid w:val="00FE028E"/>
    <w:rsid w:val="00FE1B99"/>
    <w:rsid w:val="00FE252D"/>
    <w:rsid w:val="00FE2905"/>
    <w:rsid w:val="00FE29C0"/>
    <w:rsid w:val="00FE2A94"/>
    <w:rsid w:val="00FE2C37"/>
    <w:rsid w:val="00FE38AD"/>
    <w:rsid w:val="00FE3B73"/>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5:chartTrackingRefBased/>
  <w15:docId w15:val="{81764136-6FA9-435A-9FF5-3CE6A9EE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690"/>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semiHidden/>
    <w:unhideWhenUsed/>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s-E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rPr>
  </w:style>
  <w:style w:type="character" w:customStyle="1" w:styleId="pprag2Char">
    <w:name w:val="pprag 2 Char"/>
    <w:link w:val="pprag2"/>
    <w:rsid w:val="007D7560"/>
    <w:rPr>
      <w:rFonts w:ascii="Times New Roman Bold" w:hAnsi="Times New Roman Bold"/>
      <w:b/>
      <w:color w:val="000000"/>
      <w:sz w:val="32"/>
      <w:szCs w:val="24"/>
      <w:lang w:val="es-E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rPr>
  </w:style>
  <w:style w:type="character" w:customStyle="1" w:styleId="pprag5Char">
    <w:name w:val="pprag 5 Char"/>
    <w:link w:val="pprag5"/>
    <w:locked/>
    <w:rsid w:val="007D7560"/>
    <w:rPr>
      <w:b/>
      <w:bCs/>
      <w:sz w:val="24"/>
      <w:szCs w:val="24"/>
      <w:lang w:val="es-ES"/>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autoRedefine/>
    <w:qFormat/>
    <w:rsid w:val="00F757CE"/>
    <w:pPr>
      <w:spacing w:after="60"/>
      <w:jc w:val="both"/>
    </w:pPr>
  </w:style>
  <w:style w:type="character" w:customStyle="1" w:styleId="FootnoteTextChar2">
    <w:name w:val="Footnote Text Char2"/>
    <w:link w:val="FootnoteText"/>
    <w:rsid w:val="00F757CE"/>
    <w:rPr>
      <w:lang w:val="es-ES" w:eastAsia="en-GB"/>
    </w:rPr>
  </w:style>
  <w:style w:type="character" w:customStyle="1" w:styleId="Heading3Char1">
    <w:name w:val="Heading 3 Char1"/>
    <w:link w:val="Heading3"/>
    <w:semiHidden/>
    <w:rsid w:val="00E37EF3"/>
    <w:rPr>
      <w:rFonts w:ascii="Cambria" w:eastAsia="Times New Roman" w:hAnsi="Cambria" w:cs="Times New Roman"/>
      <w:b/>
      <w:bCs/>
      <w:sz w:val="26"/>
      <w:szCs w:val="26"/>
    </w:rPr>
  </w:style>
  <w:style w:type="paragraph" w:styleId="Revision">
    <w:name w:val="Revision"/>
    <w:hidden/>
    <w:uiPriority w:val="99"/>
    <w:semiHidden/>
    <w:rsid w:val="00A337E3"/>
  </w:style>
  <w:style w:type="character" w:styleId="FollowedHyperlink">
    <w:name w:val="FollowedHyperlink"/>
    <w:rsid w:val="00C537D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242176463">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EA76B-53FB-4A68-9FAD-77BD9B91E56D}">
  <ds:schemaRefs>
    <ds:schemaRef ds:uri="http://schemas.openxmlformats.org/officeDocument/2006/bibliography"/>
  </ds:schemaRefs>
</ds:datastoreItem>
</file>

<file path=customXml/itemProps2.xml><?xml version="1.0" encoding="utf-8"?>
<ds:datastoreItem xmlns:ds="http://schemas.openxmlformats.org/officeDocument/2006/customXml" ds:itemID="{7200E4E3-7FE6-49B0-94CA-504374FB6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1538</Words>
  <Characters>8507</Characters>
  <Application>Microsoft Office Word</Application>
  <DocSecurity>0</DocSecurity>
  <Lines>265</Lines>
  <Paragraphs>104</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XXXXXXX</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XXXXXXX</dc:creator>
  <cp:keywords/>
  <cp:lastModifiedBy>OTERO VEGA Yolanda (INTPA)</cp:lastModifiedBy>
  <cp:revision>13</cp:revision>
  <cp:lastPrinted>2019-05-16T08:03:00Z</cp:lastPrinted>
  <dcterms:created xsi:type="dcterms:W3CDTF">2021-11-16T14:52:00Z</dcterms:created>
  <dcterms:modified xsi:type="dcterms:W3CDTF">2022-11-17T15:12:00Z</dcterms:modified>
</cp:coreProperties>
</file>