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94B5" w14:textId="5447F353" w:rsidR="001F7B68" w:rsidRPr="008F4AEA" w:rsidRDefault="00025B5D" w:rsidP="00B52147">
      <w:pPr>
        <w:widowControl w:val="0"/>
        <w:autoSpaceDE w:val="0"/>
        <w:autoSpaceDN w:val="0"/>
        <w:spacing w:before="34" w:after="4" w:line="240" w:lineRule="auto"/>
        <w:ind w:left="2301" w:right="2301"/>
        <w:jc w:val="center"/>
        <w:rPr>
          <w:rFonts w:ascii="Verdana" w:eastAsia="Verdana" w:hAnsi="Verdana" w:cs="Verdana"/>
          <w:b/>
          <w:sz w:val="27"/>
        </w:rPr>
      </w:pPr>
      <w:r w:rsidRPr="008F4AEA">
        <w:drawing>
          <wp:anchor distT="0" distB="0" distL="0" distR="0" simplePos="0" relativeHeight="251664384" behindDoc="0" locked="0" layoutInCell="1" allowOverlap="1" wp14:anchorId="270BCC21" wp14:editId="37A31DDC">
            <wp:simplePos x="0" y="0"/>
            <wp:positionH relativeFrom="page">
              <wp:posOffset>5897880</wp:posOffset>
            </wp:positionH>
            <wp:positionV relativeFrom="paragraph">
              <wp:posOffset>21590</wp:posOffset>
            </wp:positionV>
            <wp:extent cx="742950" cy="742950"/>
            <wp:effectExtent l="0" t="0" r="0" b="0"/>
            <wp:wrapNone/>
            <wp:docPr id="1" name="image1.png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qr code on a white background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4AEA">
        <w:rPr>
          <w:sz w:val="20"/>
        </w:rPr>
        <w:drawing>
          <wp:anchor distT="0" distB="0" distL="114300" distR="114300" simplePos="0" relativeHeight="251657216" behindDoc="0" locked="0" layoutInCell="1" allowOverlap="1" wp14:anchorId="06F02002" wp14:editId="00C25F44">
            <wp:simplePos x="0" y="0"/>
            <wp:positionH relativeFrom="column">
              <wp:posOffset>0</wp:posOffset>
            </wp:positionH>
            <wp:positionV relativeFrom="paragraph">
              <wp:posOffset>20320</wp:posOffset>
            </wp:positionV>
            <wp:extent cx="1254760" cy="623570"/>
            <wp:effectExtent l="0" t="0" r="2540" b="5080"/>
            <wp:wrapSquare wrapText="bothSides"/>
            <wp:docPr id="3" name="image2.png" descr="A blue square with yellow stars and black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A blue square with yellow stars and black strip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7B68" w:rsidRPr="008F4AEA">
        <w:rPr>
          <w:rFonts w:ascii="Verdana" w:eastAsia="Verdana" w:hAnsi="Verdana" w:cs="Verdana"/>
          <w:b/>
          <w:sz w:val="27"/>
        </w:rPr>
        <w:t>Европейская комиссия - Вопросы и ответы</w:t>
      </w:r>
    </w:p>
    <w:p w14:paraId="09FD04A1" w14:textId="3CF043DD" w:rsidR="00B52147" w:rsidRPr="008F4AEA" w:rsidRDefault="00B52147" w:rsidP="00E75ACC">
      <w:pPr>
        <w:jc w:val="both"/>
        <w:rPr>
          <w:b/>
          <w:sz w:val="28"/>
          <w:szCs w:val="28"/>
        </w:rPr>
      </w:pPr>
    </w:p>
    <w:p w14:paraId="20C294B6" w14:textId="5F736CE9" w:rsidR="001F7B68" w:rsidRPr="008F4AEA" w:rsidRDefault="001F7B68" w:rsidP="00BE4610">
      <w:pPr>
        <w:pStyle w:val="Title"/>
        <w:spacing w:beforeLines="142" w:before="340" w:line="197" w:lineRule="auto"/>
        <w:ind w:left="108" w:right="221"/>
        <w:jc w:val="both"/>
        <w:rPr>
          <w:spacing w:val="-2"/>
          <w:w w:val="80"/>
          <w:lang w:val="ru-RU"/>
        </w:rPr>
      </w:pPr>
      <w:r w:rsidRPr="008F4AEA">
        <w:rPr>
          <w:spacing w:val="-2"/>
          <w:w w:val="80"/>
          <w:lang w:val="ru-RU"/>
        </w:rPr>
        <w:t xml:space="preserve">Основные выводы отчета 2023 </w:t>
      </w:r>
      <w:r w:rsidR="00867810" w:rsidRPr="008F4AEA">
        <w:rPr>
          <w:spacing w:val="-2"/>
          <w:w w:val="80"/>
          <w:lang w:val="ru-RU"/>
        </w:rPr>
        <w:t xml:space="preserve">г. </w:t>
      </w:r>
      <w:r w:rsidRPr="008F4AEA">
        <w:rPr>
          <w:spacing w:val="-2"/>
          <w:w w:val="80"/>
          <w:lang w:val="ru-RU"/>
        </w:rPr>
        <w:t>по Республике Молдова</w:t>
      </w:r>
    </w:p>
    <w:p w14:paraId="20C294B7" w14:textId="219508F8" w:rsidR="001F7B68" w:rsidRPr="008F4AEA" w:rsidRDefault="001F7B68" w:rsidP="00491C42">
      <w:pPr>
        <w:widowControl w:val="0"/>
        <w:autoSpaceDE w:val="0"/>
        <w:autoSpaceDN w:val="0"/>
        <w:spacing w:beforeLines="142" w:before="340" w:after="0" w:line="197" w:lineRule="auto"/>
        <w:ind w:left="108" w:right="221"/>
        <w:jc w:val="both"/>
        <w:rPr>
          <w:rFonts w:ascii="Verdana" w:eastAsia="Verdana" w:hAnsi="Verdana" w:cs="Verdana"/>
          <w:spacing w:val="-4"/>
          <w:w w:val="85"/>
          <w:sz w:val="27"/>
        </w:rPr>
      </w:pPr>
      <w:r w:rsidRPr="008F4AEA">
        <w:rPr>
          <w:rFonts w:ascii="Verdana" w:eastAsia="Verdana" w:hAnsi="Verdana" w:cs="Verdana"/>
          <w:spacing w:val="-4"/>
          <w:w w:val="85"/>
          <w:sz w:val="27"/>
        </w:rPr>
        <w:t>Брюссель, 8 ноября 2023 г.</w:t>
      </w:r>
    </w:p>
    <w:p w14:paraId="20C294B8" w14:textId="29E73FE8" w:rsidR="001F7B68" w:rsidRPr="008F4AEA" w:rsidRDefault="001F7B68" w:rsidP="007572A4">
      <w:pPr>
        <w:pStyle w:val="BodyText"/>
        <w:spacing w:beforeLines="142" w:before="340" w:line="197" w:lineRule="auto"/>
        <w:ind w:left="108" w:right="221"/>
        <w:jc w:val="both"/>
        <w:rPr>
          <w:lang w:val="ru-RU"/>
        </w:rPr>
      </w:pPr>
      <w:r w:rsidRPr="008F4AEA">
        <w:rPr>
          <w:lang w:val="ru-RU"/>
        </w:rPr>
        <w:t xml:space="preserve">Что касается </w:t>
      </w:r>
      <w:r w:rsidRPr="008F4AEA">
        <w:rPr>
          <w:b/>
          <w:bCs/>
          <w:lang w:val="ru-RU"/>
        </w:rPr>
        <w:t>политических критериев</w:t>
      </w:r>
      <w:r w:rsidRPr="008F4AEA">
        <w:rPr>
          <w:lang w:val="ru-RU"/>
        </w:rPr>
        <w:t>, то Молдова продолжает проводить реформы, направленные на укрепление демократии и верховенства закона, несмотря на многочисленные вызовы, связанные с войной России против Украины. За отчетный период был достигнут значительный прогресс в области избирательного законодательства в части рассмотрения и внедрения оставшихся рекомендаций Бюро по демократическим институтам и правам человека Организации по безопасности и сотрудничеству в Европе (БДИПЧ) и Венецианской комиссии в их заключениях, опубликованных в декабре 2021 г. и октябре 2022 года. В избирательное законодательство были внесены комплексные поправки, направленные на устранение несоответствий, и в декабре 2022 года был пр</w:t>
      </w:r>
      <w:r w:rsidR="00A27D6B" w:rsidRPr="008F4AEA">
        <w:rPr>
          <w:lang w:val="ru-RU"/>
        </w:rPr>
        <w:t>инят новый Избирательный кодекс</w:t>
      </w:r>
      <w:r w:rsidRPr="008F4AEA">
        <w:rPr>
          <w:lang w:val="ru-RU"/>
        </w:rPr>
        <w:t xml:space="preserve">. В октябре 2023 года были приняты дополнительные поправки к Избирательному кодексу, предусматривающие возможность запрета баллотироваться на выборные должности членам политических партий, </w:t>
      </w:r>
      <w:proofErr w:type="gramStart"/>
      <w:r w:rsidRPr="008F4AEA">
        <w:rPr>
          <w:lang w:val="ru-RU"/>
        </w:rPr>
        <w:t>которые</w:t>
      </w:r>
      <w:proofErr w:type="gramEnd"/>
      <w:r w:rsidRPr="008F4AEA">
        <w:rPr>
          <w:lang w:val="ru-RU"/>
        </w:rPr>
        <w:t xml:space="preserve"> </w:t>
      </w:r>
      <w:proofErr w:type="spellStart"/>
      <w:r w:rsidRPr="008F4AEA">
        <w:rPr>
          <w:lang w:val="ru-RU"/>
        </w:rPr>
        <w:t>которые</w:t>
      </w:r>
      <w:proofErr w:type="spellEnd"/>
      <w:r w:rsidRPr="008F4AEA">
        <w:rPr>
          <w:lang w:val="ru-RU"/>
        </w:rPr>
        <w:t xml:space="preserve"> были признаны Конституционным судом неконституционными. </w:t>
      </w:r>
      <w:r w:rsidR="00A27D6B" w:rsidRPr="008F4AEA">
        <w:rPr>
          <w:lang w:val="ru-RU"/>
        </w:rPr>
        <w:t>Относительно этих поправок еще</w:t>
      </w:r>
      <w:r w:rsidRPr="008F4AEA">
        <w:rPr>
          <w:lang w:val="ru-RU"/>
        </w:rPr>
        <w:t xml:space="preserve"> должны быть </w:t>
      </w:r>
      <w:r w:rsidR="00A27D6B" w:rsidRPr="008F4AEA">
        <w:rPr>
          <w:lang w:val="ru-RU"/>
        </w:rPr>
        <w:t xml:space="preserve">проведены </w:t>
      </w:r>
      <w:r w:rsidRPr="008F4AEA">
        <w:rPr>
          <w:lang w:val="ru-RU"/>
        </w:rPr>
        <w:t xml:space="preserve">консультации с Венецианской комиссией, чтобы обеспечить </w:t>
      </w:r>
      <w:r w:rsidR="00A27D6B" w:rsidRPr="008F4AEA">
        <w:rPr>
          <w:lang w:val="ru-RU"/>
        </w:rPr>
        <w:t xml:space="preserve">их </w:t>
      </w:r>
      <w:r w:rsidRPr="008F4AEA">
        <w:rPr>
          <w:lang w:val="ru-RU"/>
        </w:rPr>
        <w:t>соответствие европейским стандартам.</w:t>
      </w:r>
    </w:p>
    <w:p w14:paraId="20C294B9" w14:textId="77777777" w:rsidR="001F7B68" w:rsidRPr="008F4AEA" w:rsidRDefault="001F7B68" w:rsidP="007572A4">
      <w:pPr>
        <w:pStyle w:val="BodyText"/>
        <w:spacing w:beforeLines="142" w:before="340" w:line="197" w:lineRule="auto"/>
        <w:ind w:left="108" w:right="221"/>
        <w:jc w:val="both"/>
        <w:rPr>
          <w:lang w:val="ru-RU"/>
        </w:rPr>
      </w:pPr>
      <w:r w:rsidRPr="008F4AEA">
        <w:rPr>
          <w:lang w:val="ru-RU"/>
        </w:rPr>
        <w:t>Кроме того, властям необходимо обеспечить выполнение избирательного законодательства путем укрепления Центральной избирательной комиссии, наделив ее достаточными полномочиями, ресурсами и техническими</w:t>
      </w:r>
      <w:r w:rsidR="00762950" w:rsidRPr="008F4AEA">
        <w:rPr>
          <w:lang w:val="ru-RU"/>
        </w:rPr>
        <w:t xml:space="preserve"> навыками</w:t>
      </w:r>
      <w:r w:rsidRPr="008F4AEA">
        <w:rPr>
          <w:lang w:val="ru-RU"/>
        </w:rPr>
        <w:t xml:space="preserve"> для </w:t>
      </w:r>
      <w:r w:rsidR="00EC536D" w:rsidRPr="008F4AEA">
        <w:rPr>
          <w:lang w:val="ru-RU"/>
        </w:rPr>
        <w:t xml:space="preserve">эффективного </w:t>
      </w:r>
      <w:r w:rsidRPr="008F4AEA">
        <w:rPr>
          <w:lang w:val="ru-RU"/>
        </w:rPr>
        <w:t>выполнения работы. Молдове необходимо обеспечить прозрачность финансирования политических партий и подотчетность финансирования избирательных кампаний. Для дальнейшего снижения риска злонамеренного вмешательства стране необходимо регулировать участие третьих сторон в избирательных кампаниях в соответствии с требованиями Группы государств против коррупции (GRECO) и рекомендациями БДИПЧ.</w:t>
      </w:r>
    </w:p>
    <w:p w14:paraId="20C294BA" w14:textId="77777777" w:rsidR="001F7B68" w:rsidRPr="008F4AEA" w:rsidRDefault="001F7B68" w:rsidP="007572A4">
      <w:pPr>
        <w:pStyle w:val="BodyText"/>
        <w:spacing w:beforeLines="142" w:before="340" w:line="197" w:lineRule="auto"/>
        <w:ind w:left="108" w:right="221"/>
        <w:jc w:val="both"/>
        <w:rPr>
          <w:lang w:val="ru-RU"/>
        </w:rPr>
      </w:pPr>
      <w:r w:rsidRPr="008F4AEA">
        <w:rPr>
          <w:lang w:val="ru-RU"/>
        </w:rPr>
        <w:t xml:space="preserve">В течение отчетного периода </w:t>
      </w:r>
      <w:r w:rsidRPr="00890A3B">
        <w:rPr>
          <w:b/>
          <w:bCs/>
          <w:lang w:val="ru-RU"/>
        </w:rPr>
        <w:t>парламент</w:t>
      </w:r>
      <w:r w:rsidRPr="008F4AEA">
        <w:rPr>
          <w:lang w:val="ru-RU"/>
        </w:rPr>
        <w:t xml:space="preserve"> играл важную роль в процессе вступления в ЕС, поддерживая усилия правительства по проведению реформ. реформы, проводимые правительством. Недоверие и </w:t>
      </w:r>
      <w:r w:rsidR="00E171E7" w:rsidRPr="008F4AEA">
        <w:rPr>
          <w:lang w:val="ru-RU"/>
        </w:rPr>
        <w:t xml:space="preserve">порою </w:t>
      </w:r>
      <w:r w:rsidRPr="008F4AEA">
        <w:rPr>
          <w:lang w:val="ru-RU"/>
        </w:rPr>
        <w:t xml:space="preserve">недостаточная прозрачность привели к низкому уровню участия оппозиции в законотворческом процессе. Необходимо предпринять дополнительные усилия для повышения прозрачности путем планирования контрольных мероприятий и публичных слушаний, заблаговременного опубликования парламентского расписания, а также повышения уровня подотчетности парламентариев. Процесс внесения изменений в Регламент парламента следует ускорить и обеспечить более широкое участие гражданского общества. Сильное парламентское большинство поддержало реформы, начатые президентом Майей </w:t>
      </w:r>
      <w:r w:rsidRPr="008F4AEA">
        <w:rPr>
          <w:lang w:val="ru-RU"/>
        </w:rPr>
        <w:lastRenderedPageBreak/>
        <w:t xml:space="preserve">Санду и правительством. В феврале 2023 года произошли перестановки в правительстве, и новое правительство по-прежнему уделяет большое внимание программе реформ в Молдове. Правительство активно работало над повесткой дня реформ в ЕС и над устранением последствий агрессивной войны России против Украины. Были предприняты шаги по повышению </w:t>
      </w:r>
      <w:r w:rsidRPr="00C562E9">
        <w:rPr>
          <w:i/>
          <w:iCs/>
          <w:lang w:val="ru-RU"/>
        </w:rPr>
        <w:t>прозрачности процесса принятия решений и</w:t>
      </w:r>
      <w:r w:rsidR="00153A39" w:rsidRPr="00C562E9">
        <w:rPr>
          <w:i/>
          <w:iCs/>
          <w:lang w:val="ru-RU"/>
        </w:rPr>
        <w:t xml:space="preserve"> </w:t>
      </w:r>
      <w:r w:rsidRPr="00C562E9">
        <w:rPr>
          <w:i/>
          <w:iCs/>
          <w:lang w:val="ru-RU"/>
        </w:rPr>
        <w:t>демократических механизмов подотчетности</w:t>
      </w:r>
      <w:r w:rsidRPr="008F4AEA">
        <w:rPr>
          <w:lang w:val="ru-RU"/>
        </w:rPr>
        <w:t xml:space="preserve">. Оно также обеспечило </w:t>
      </w:r>
      <w:r w:rsidRPr="00C562E9">
        <w:rPr>
          <w:i/>
          <w:iCs/>
          <w:lang w:val="ru-RU"/>
        </w:rPr>
        <w:t>хороший уровень координации и планирования политики</w:t>
      </w:r>
      <w:r w:rsidRPr="008F4AEA">
        <w:rPr>
          <w:lang w:val="ru-RU"/>
        </w:rPr>
        <w:t>. Необходимы решительные усилия для обеспечения эффективной реализации принятых законов и применения всех элементов регуляторной политики на всех уровнях власти.</w:t>
      </w:r>
    </w:p>
    <w:p w14:paraId="20C294BB" w14:textId="4EE3924F" w:rsidR="001F7B68" w:rsidRPr="008F4AEA" w:rsidRDefault="001F7B68" w:rsidP="007572A4">
      <w:pPr>
        <w:pStyle w:val="BodyText"/>
        <w:spacing w:beforeLines="142" w:before="340" w:line="197" w:lineRule="auto"/>
        <w:ind w:left="108" w:right="221"/>
        <w:jc w:val="both"/>
        <w:rPr>
          <w:lang w:val="ru-RU"/>
        </w:rPr>
      </w:pPr>
      <w:r w:rsidRPr="008F4AEA">
        <w:rPr>
          <w:lang w:val="ru-RU"/>
        </w:rPr>
        <w:t xml:space="preserve">Для организаций </w:t>
      </w:r>
      <w:r w:rsidRPr="00890A3B">
        <w:rPr>
          <w:b/>
          <w:bCs/>
          <w:lang w:val="ru-RU"/>
        </w:rPr>
        <w:t>гражданского общества</w:t>
      </w:r>
      <w:r w:rsidRPr="008F4AEA">
        <w:rPr>
          <w:lang w:val="ru-RU"/>
        </w:rPr>
        <w:t xml:space="preserve"> (ОГО) существует благоприятная среда, в которой действуют правовые и финансовые механизмы. Законодательная база </w:t>
      </w:r>
      <w:r w:rsidR="0069060E" w:rsidRPr="008F4AEA">
        <w:rPr>
          <w:lang w:val="ru-RU"/>
        </w:rPr>
        <w:t xml:space="preserve">Молдовы </w:t>
      </w:r>
      <w:r w:rsidRPr="008F4AEA">
        <w:rPr>
          <w:lang w:val="ru-RU"/>
        </w:rPr>
        <w:t xml:space="preserve">соответствует международным стандартам. </w:t>
      </w:r>
      <w:r w:rsidR="0069060E" w:rsidRPr="008F4AEA">
        <w:rPr>
          <w:lang w:val="ru-RU"/>
        </w:rPr>
        <w:t>В Молдове гражданское общество</w:t>
      </w:r>
      <w:r w:rsidRPr="008F4AEA">
        <w:rPr>
          <w:lang w:val="ru-RU"/>
        </w:rPr>
        <w:t xml:space="preserve"> </w:t>
      </w:r>
      <w:r w:rsidR="0069060E" w:rsidRPr="008F4AEA">
        <w:rPr>
          <w:lang w:val="ru-RU"/>
        </w:rPr>
        <w:t xml:space="preserve">вовлечено </w:t>
      </w:r>
      <w:r w:rsidRPr="008F4AEA">
        <w:rPr>
          <w:lang w:val="ru-RU"/>
        </w:rPr>
        <w:t xml:space="preserve">в процесс принятия решений. Дальнейшие усилия должны быть направлены на принятие Национальной стратегии развития гражданского общества и повышения качества процессов общественных консультаций с целью повышения прозрачности и более активного вовлечения ОГО в политический диалог, особенно </w:t>
      </w:r>
      <w:r w:rsidR="00C562E9" w:rsidRPr="008F4AEA">
        <w:rPr>
          <w:lang w:val="ru-RU"/>
        </w:rPr>
        <w:t>в парламентских</w:t>
      </w:r>
      <w:r w:rsidRPr="008F4AEA">
        <w:rPr>
          <w:lang w:val="ru-RU"/>
        </w:rPr>
        <w:t xml:space="preserve"> дебатах и на местном уровне.</w:t>
      </w:r>
    </w:p>
    <w:p w14:paraId="20C294BC" w14:textId="69C6AB02" w:rsidR="001F7B68" w:rsidRPr="008F4AEA" w:rsidRDefault="001F7B68" w:rsidP="007572A4">
      <w:pPr>
        <w:pStyle w:val="BodyText"/>
        <w:spacing w:beforeLines="142" w:before="340" w:line="197" w:lineRule="auto"/>
        <w:ind w:left="108" w:right="221"/>
        <w:jc w:val="both"/>
        <w:rPr>
          <w:lang w:val="ru-RU"/>
        </w:rPr>
      </w:pPr>
      <w:r w:rsidRPr="008F4AEA">
        <w:rPr>
          <w:lang w:val="ru-RU"/>
        </w:rPr>
        <w:t xml:space="preserve">Молдова имеет определенный уровень подготовки в области </w:t>
      </w:r>
      <w:r w:rsidRPr="00C562E9">
        <w:rPr>
          <w:b/>
          <w:bCs/>
          <w:lang w:val="ru-RU"/>
        </w:rPr>
        <w:t>реформы государственного управления</w:t>
      </w:r>
      <w:r w:rsidRPr="008F4AEA">
        <w:rPr>
          <w:lang w:val="ru-RU"/>
        </w:rPr>
        <w:t xml:space="preserve">, и в этой области достигнут некоторый достигнут определенный прогресс. В частности, новая стратегия реформы государственного управления на </w:t>
      </w:r>
      <w:r w:rsidR="00C562E9" w:rsidRPr="008F4AEA">
        <w:rPr>
          <w:lang w:val="ru-RU"/>
        </w:rPr>
        <w:t>2023–</w:t>
      </w:r>
      <w:proofErr w:type="gramStart"/>
      <w:r w:rsidR="00C562E9" w:rsidRPr="008F4AEA">
        <w:rPr>
          <w:lang w:val="ru-RU"/>
        </w:rPr>
        <w:t xml:space="preserve">2030 </w:t>
      </w:r>
      <w:r w:rsidRPr="008F4AEA">
        <w:rPr>
          <w:lang w:val="ru-RU"/>
        </w:rPr>
        <w:t xml:space="preserve"> гг.</w:t>
      </w:r>
      <w:proofErr w:type="gramEnd"/>
      <w:r w:rsidRPr="008F4AEA">
        <w:rPr>
          <w:lang w:val="ru-RU"/>
        </w:rPr>
        <w:t xml:space="preserve"> была принята в марте 2023 года, а программа ее реализации на 2023-2026 годы была принята в июне 2023. В связи со сложной сеткой окладов и множеством различных классификаций должностей оплата труда государственных служащих варьируется и является непоследовательной в рамках всей системы управления. Молдова начала решать эту проблему с принятием нового закона об оплате труда. Молдове необходимо продолжать наращива</w:t>
      </w:r>
      <w:r w:rsidR="002762AC" w:rsidRPr="008F4AEA">
        <w:rPr>
          <w:lang w:val="ru-RU"/>
        </w:rPr>
        <w:t xml:space="preserve">ть свой потенциал для </w:t>
      </w:r>
      <w:r w:rsidRPr="008F4AEA">
        <w:rPr>
          <w:lang w:val="ru-RU"/>
        </w:rPr>
        <w:t>реализации реформ и предоставления качественных государственных услуг на всех уровнях.</w:t>
      </w:r>
    </w:p>
    <w:p w14:paraId="20C294BD" w14:textId="04FD830C" w:rsidR="001F7B68" w:rsidRPr="008F4AEA" w:rsidRDefault="001F7B68" w:rsidP="007572A4">
      <w:pPr>
        <w:pStyle w:val="BodyText"/>
        <w:spacing w:beforeLines="142" w:before="340" w:line="197" w:lineRule="auto"/>
        <w:ind w:left="108" w:right="221"/>
        <w:jc w:val="both"/>
        <w:rPr>
          <w:lang w:val="ru-RU"/>
        </w:rPr>
      </w:pPr>
      <w:r w:rsidRPr="008F4AEA">
        <w:rPr>
          <w:lang w:val="ru-RU"/>
        </w:rPr>
        <w:t xml:space="preserve">Молдова имеет определенный уровень подготовки в области </w:t>
      </w:r>
      <w:r w:rsidRPr="00FD735B">
        <w:rPr>
          <w:b/>
          <w:bCs/>
          <w:lang w:val="ru-RU"/>
        </w:rPr>
        <w:t>судебной</w:t>
      </w:r>
      <w:r w:rsidRPr="008F4AEA">
        <w:rPr>
          <w:lang w:val="ru-RU"/>
        </w:rPr>
        <w:t xml:space="preserve"> системы. Страна добилась значительного прогресса в реформировании сектора правосудия. Кандидаты в Высший совет магистратуры (ВСМ) и Высший совет прокуроров (ВСП) должны были пройти предварительный отбор </w:t>
      </w:r>
      <w:r w:rsidR="00FD735B" w:rsidRPr="008F4AEA">
        <w:rPr>
          <w:lang w:val="ru-RU"/>
        </w:rPr>
        <w:t>на основании соответствующего закона,</w:t>
      </w:r>
      <w:r w:rsidRPr="008F4AEA">
        <w:rPr>
          <w:lang w:val="ru-RU"/>
        </w:rPr>
        <w:t xml:space="preserve"> принятого в соответствии с рекомендациями Венецианской комиссии. Парламент также принял закон о Реформ</w:t>
      </w:r>
      <w:r w:rsidR="00DF0126" w:rsidRPr="008F4AEA">
        <w:rPr>
          <w:lang w:val="ru-RU"/>
        </w:rPr>
        <w:t>е</w:t>
      </w:r>
      <w:r w:rsidRPr="008F4AEA">
        <w:rPr>
          <w:lang w:val="ru-RU"/>
        </w:rPr>
        <w:t xml:space="preserve"> Верховного суда (ВС), и началась проверка кандидатов в его состав и действующих судей в соответствии с рекомендациями Венецианской комиссии. 31 июля 2023 года парламент принял закон о дальнейшей проверке судей и прокуроров на высоких должностях, который был согласован с Европейской комиссией и в целом соответствует рекомендациям Венецианской комиссии. Однако Президент вернул закон в парламент с дополнительными изменениями, которые парламент принял 22 августа 2023 г. 22 августа 2023 года. Дополнительные изменения были направлены на рассмотрение Венецианской комиссии. </w:t>
      </w:r>
    </w:p>
    <w:p w14:paraId="20C294BE" w14:textId="77777777" w:rsidR="001F7B68" w:rsidRPr="008F4AEA" w:rsidRDefault="00C349F1" w:rsidP="007572A4">
      <w:pPr>
        <w:pStyle w:val="BodyText"/>
        <w:spacing w:beforeLines="142" w:before="340" w:line="197" w:lineRule="auto"/>
        <w:ind w:left="108" w:right="221"/>
        <w:jc w:val="both"/>
        <w:rPr>
          <w:lang w:val="ru-RU"/>
        </w:rPr>
      </w:pPr>
      <w:r w:rsidRPr="008F4AEA">
        <w:rPr>
          <w:lang w:val="ru-RU"/>
        </w:rPr>
        <w:lastRenderedPageBreak/>
        <w:t>Длительность разбирательств, низкий процент рассмотрения и большое количество нерассмотренных дел негативно сказываются на эффективности судебной системы. Не удалось добиться существенного прогресса в судебном преследовании по резонансным коррупционны</w:t>
      </w:r>
      <w:r w:rsidR="00491659" w:rsidRPr="008F4AEA">
        <w:rPr>
          <w:lang w:val="ru-RU"/>
        </w:rPr>
        <w:t>м</w:t>
      </w:r>
      <w:r w:rsidRPr="008F4AEA">
        <w:rPr>
          <w:lang w:val="ru-RU"/>
        </w:rPr>
        <w:t xml:space="preserve"> </w:t>
      </w:r>
      <w:r w:rsidR="00491659" w:rsidRPr="008F4AEA">
        <w:rPr>
          <w:lang w:val="ru-RU"/>
        </w:rPr>
        <w:t>делам и давним уголовным</w:t>
      </w:r>
      <w:r w:rsidRPr="008F4AEA">
        <w:rPr>
          <w:lang w:val="ru-RU"/>
        </w:rPr>
        <w:t xml:space="preserve"> </w:t>
      </w:r>
      <w:r w:rsidR="00491659" w:rsidRPr="008F4AEA">
        <w:rPr>
          <w:lang w:val="ru-RU"/>
        </w:rPr>
        <w:t>делам</w:t>
      </w:r>
      <w:r w:rsidRPr="008F4AEA">
        <w:rPr>
          <w:lang w:val="ru-RU"/>
        </w:rPr>
        <w:t xml:space="preserve">. Был вынесен один приговор двум беглым олигархам. Из-за отсутствия кворума в </w:t>
      </w:r>
      <w:r w:rsidR="00491659" w:rsidRPr="008F4AEA">
        <w:rPr>
          <w:lang w:val="ru-RU"/>
        </w:rPr>
        <w:t>ВСМ</w:t>
      </w:r>
      <w:r w:rsidRPr="008F4AEA">
        <w:rPr>
          <w:lang w:val="ru-RU"/>
        </w:rPr>
        <w:t xml:space="preserve"> за последние 3 года не было назначено ни одного нового судьи. Однак</w:t>
      </w:r>
      <w:r w:rsidR="00491659" w:rsidRPr="008F4AEA">
        <w:rPr>
          <w:lang w:val="ru-RU"/>
        </w:rPr>
        <w:t>о после назначения трех членов ВСМ</w:t>
      </w:r>
      <w:r w:rsidRPr="008F4AEA">
        <w:rPr>
          <w:lang w:val="ru-RU"/>
        </w:rPr>
        <w:t xml:space="preserve">, не являющихся судьями, и четырех членов </w:t>
      </w:r>
      <w:r w:rsidR="00491659" w:rsidRPr="008F4AEA">
        <w:rPr>
          <w:lang w:val="ru-RU"/>
        </w:rPr>
        <w:t>ВСМ</w:t>
      </w:r>
      <w:r w:rsidRPr="008F4AEA">
        <w:rPr>
          <w:lang w:val="ru-RU"/>
        </w:rPr>
        <w:t xml:space="preserve">, являющихся судьями, в марте и апреле 2023 г. </w:t>
      </w:r>
      <w:r w:rsidR="00491659" w:rsidRPr="008F4AEA">
        <w:rPr>
          <w:lang w:val="ru-RU"/>
        </w:rPr>
        <w:t xml:space="preserve">ВСМ </w:t>
      </w:r>
      <w:r w:rsidRPr="008F4AEA">
        <w:rPr>
          <w:lang w:val="ru-RU"/>
        </w:rPr>
        <w:t>восстановил кворум и произвел новые назначения во всех судебных органах, в том числе в судейский корпус. Новая судебная карта, которая должна</w:t>
      </w:r>
      <w:r w:rsidR="00491659" w:rsidRPr="008F4AEA">
        <w:rPr>
          <w:lang w:val="ru-RU"/>
        </w:rPr>
        <w:t xml:space="preserve"> реформировать судебную систему</w:t>
      </w:r>
      <w:r w:rsidRPr="008F4AEA">
        <w:rPr>
          <w:lang w:val="ru-RU"/>
        </w:rPr>
        <w:t>, нуждается в доработке.</w:t>
      </w:r>
    </w:p>
    <w:p w14:paraId="20C294BF" w14:textId="77777777" w:rsidR="00C349F1" w:rsidRPr="008F4AEA" w:rsidRDefault="00153A39" w:rsidP="007572A4">
      <w:pPr>
        <w:pStyle w:val="BodyText"/>
        <w:spacing w:beforeLines="142" w:before="340" w:line="197" w:lineRule="auto"/>
        <w:ind w:left="108" w:right="221"/>
        <w:jc w:val="both"/>
        <w:rPr>
          <w:lang w:val="ru-RU"/>
        </w:rPr>
      </w:pPr>
      <w:r w:rsidRPr="008F4AEA">
        <w:rPr>
          <w:lang w:val="ru-RU"/>
        </w:rPr>
        <w:t xml:space="preserve">Молдова имеет определенный уровень подготовки в области </w:t>
      </w:r>
      <w:r w:rsidRPr="00FD735B">
        <w:rPr>
          <w:b/>
          <w:bCs/>
          <w:lang w:val="ru-RU"/>
        </w:rPr>
        <w:t>борьбы с коррупцией</w:t>
      </w:r>
      <w:r w:rsidRPr="008F4AEA">
        <w:rPr>
          <w:lang w:val="ru-RU"/>
        </w:rPr>
        <w:t xml:space="preserve">. Достигнут </w:t>
      </w:r>
      <w:r w:rsidR="00D8377D" w:rsidRPr="008F4AEA">
        <w:rPr>
          <w:lang w:val="ru-RU"/>
        </w:rPr>
        <w:t xml:space="preserve">некоторый </w:t>
      </w:r>
      <w:r w:rsidRPr="008F4AEA">
        <w:rPr>
          <w:lang w:val="ru-RU"/>
        </w:rPr>
        <w:t>прогресс, который необходимо поддерживать, чтобы устранить многие остающиеся препятствия, мешающие процессу реформ. В июле 2023 года парламент внес поправки в законодательство, уточняющие мандаты Национального антикоррупционного центра и Антикоррупционной прокуратуры. Новое законодательство о заочном судебном разбирательстве, вступившее в силу в июле 2022 года, было использовано для вынесения окончательного решения по делу двух известных олигархов. Количество приговоров по делам о коррупции на высоком уровне несколько увеличилось. В июне 2023 года парламент принял поправки к закону об информаторах.</w:t>
      </w:r>
    </w:p>
    <w:p w14:paraId="20C294C0" w14:textId="11099348" w:rsidR="003277B7" w:rsidRPr="008F4AEA" w:rsidRDefault="001C7CD4" w:rsidP="007572A4">
      <w:pPr>
        <w:pStyle w:val="BodyText"/>
        <w:spacing w:beforeLines="142" w:before="340" w:line="197" w:lineRule="auto"/>
        <w:ind w:left="108" w:right="221"/>
        <w:jc w:val="both"/>
        <w:rPr>
          <w:lang w:val="ru-RU"/>
        </w:rPr>
      </w:pPr>
      <w:r w:rsidRPr="008F4AEA">
        <w:rPr>
          <w:lang w:val="ru-RU"/>
        </w:rPr>
        <w:t xml:space="preserve">Молдова имеет определенный уровень подготовки к внедрению </w:t>
      </w:r>
      <w:proofErr w:type="spellStart"/>
      <w:r w:rsidRPr="00FD735B">
        <w:rPr>
          <w:i/>
          <w:iCs/>
          <w:lang w:val="ru-RU"/>
        </w:rPr>
        <w:t>acquis</w:t>
      </w:r>
      <w:proofErr w:type="spellEnd"/>
      <w:r w:rsidRPr="008F4AEA">
        <w:rPr>
          <w:lang w:val="ru-RU"/>
        </w:rPr>
        <w:t xml:space="preserve"> ЕС по </w:t>
      </w:r>
      <w:r w:rsidRPr="00FD735B">
        <w:rPr>
          <w:b/>
          <w:bCs/>
          <w:lang w:val="ru-RU"/>
        </w:rPr>
        <w:t>борьбе с организованной преступностью</w:t>
      </w:r>
      <w:r w:rsidRPr="008F4AEA">
        <w:rPr>
          <w:lang w:val="ru-RU"/>
        </w:rPr>
        <w:t xml:space="preserve">. Был достигнут определенный прогресс, в том числе в борьбе с финансовыми преступлениями и </w:t>
      </w:r>
      <w:r w:rsidR="00B77AC2" w:rsidRPr="008F4AEA">
        <w:rPr>
          <w:lang w:val="ru-RU"/>
        </w:rPr>
        <w:t xml:space="preserve">в вопросе </w:t>
      </w:r>
      <w:r w:rsidRPr="008F4AEA">
        <w:rPr>
          <w:lang w:val="ru-RU"/>
        </w:rPr>
        <w:t>возвращени</w:t>
      </w:r>
      <w:r w:rsidR="00B77AC2" w:rsidRPr="008F4AEA">
        <w:rPr>
          <w:lang w:val="ru-RU"/>
        </w:rPr>
        <w:t>я</w:t>
      </w:r>
      <w:r w:rsidRPr="008F4AEA">
        <w:rPr>
          <w:lang w:val="ru-RU"/>
        </w:rPr>
        <w:t xml:space="preserve"> активов. Были арестованы активы, принадлежащие трем известным олигархам. В декабре 2022 года была принята национальная программа по возвращению активов на </w:t>
      </w:r>
      <w:r w:rsidR="00FD735B" w:rsidRPr="008F4AEA">
        <w:rPr>
          <w:lang w:val="ru-RU"/>
        </w:rPr>
        <w:t>2023–</w:t>
      </w:r>
      <w:proofErr w:type="gramStart"/>
      <w:r w:rsidR="00FD735B" w:rsidRPr="008F4AEA">
        <w:rPr>
          <w:lang w:val="ru-RU"/>
        </w:rPr>
        <w:t xml:space="preserve">2027 </w:t>
      </w:r>
      <w:r w:rsidRPr="008F4AEA">
        <w:rPr>
          <w:lang w:val="ru-RU"/>
        </w:rPr>
        <w:t xml:space="preserve"> годы</w:t>
      </w:r>
      <w:proofErr w:type="gramEnd"/>
      <w:r w:rsidRPr="008F4AEA">
        <w:rPr>
          <w:lang w:val="ru-RU"/>
        </w:rPr>
        <w:t xml:space="preserve"> и план действий по ее реализации. Необходимо сохранить достигнутый прогресс в области ареста и конфискации активов, связанных с организованной преступностью. Расширено сотрудничество с государствами-членами ЕС, Европейским агентством пограничной и береговой охраны (</w:t>
      </w:r>
      <w:proofErr w:type="spellStart"/>
      <w:r w:rsidRPr="008F4AEA">
        <w:rPr>
          <w:lang w:val="ru-RU"/>
        </w:rPr>
        <w:t>Frontex</w:t>
      </w:r>
      <w:proofErr w:type="spellEnd"/>
      <w:r w:rsidRPr="008F4AEA">
        <w:rPr>
          <w:lang w:val="ru-RU"/>
        </w:rPr>
        <w:t xml:space="preserve">), Европолом и Агентством ЕС по обучению сотрудников правоохранительных органов (CEPOL), которое обеспечивается Центром поддержки ЕС по внутренней безопасности и управлению границами в Молдове. Молдова подписала соглашение о статусе с </w:t>
      </w:r>
      <w:proofErr w:type="spellStart"/>
      <w:r w:rsidRPr="008F4AEA">
        <w:rPr>
          <w:lang w:val="ru-RU"/>
        </w:rPr>
        <w:t>Frontex</w:t>
      </w:r>
      <w:proofErr w:type="spellEnd"/>
      <w:r w:rsidRPr="008F4AEA">
        <w:rPr>
          <w:lang w:val="ru-RU"/>
        </w:rPr>
        <w:t xml:space="preserve">. Молдова неоднократно брала на себя обязательства и добивалась прогресса в борьбе с незаконным оборотом оружия, наркотиков, торговлей людьми и незаконным ввозом мигрантов. В декабре 2022 г. в стране была принята новая отраслевая стратегия развития по предупреждению и борьбе с организованной преступностью на </w:t>
      </w:r>
      <w:r w:rsidR="00FD735B" w:rsidRPr="008F4AEA">
        <w:rPr>
          <w:lang w:val="ru-RU"/>
        </w:rPr>
        <w:t xml:space="preserve">2022–2025 </w:t>
      </w:r>
      <w:r w:rsidRPr="008F4AEA">
        <w:rPr>
          <w:lang w:val="ru-RU"/>
        </w:rPr>
        <w:t xml:space="preserve"> гг. для поддержки реализации комплексной стратегии по внутренним делам (2022-2030 гг.), которая была принята в сентябре 2022 г., и назначен национальный координатор по огнестрельному оружию. В марте 2023 г. в стране также был пересмотрен Закон о режиме оружия и боеприпасов гражданского назначения, направленный на приведение его в соответствие с нормативными актами ЕС.</w:t>
      </w:r>
    </w:p>
    <w:p w14:paraId="20C294C1" w14:textId="4D41E77E" w:rsidR="00D8377D" w:rsidRPr="008F4AEA" w:rsidRDefault="00D8377D" w:rsidP="007572A4">
      <w:pPr>
        <w:pStyle w:val="BodyText"/>
        <w:spacing w:beforeLines="142" w:before="340" w:line="197" w:lineRule="auto"/>
        <w:ind w:left="108" w:right="221"/>
        <w:jc w:val="both"/>
        <w:rPr>
          <w:lang w:val="ru-RU"/>
        </w:rPr>
      </w:pPr>
      <w:r w:rsidRPr="008F4AEA">
        <w:rPr>
          <w:lang w:val="ru-RU"/>
        </w:rPr>
        <w:t>Антитеррористическое законодательство Молдовы в целом соответствует нормам ЕС и применимому международн</w:t>
      </w:r>
      <w:r w:rsidR="00544861" w:rsidRPr="008F4AEA">
        <w:rPr>
          <w:lang w:val="ru-RU"/>
        </w:rPr>
        <w:t>ому праву</w:t>
      </w:r>
      <w:r w:rsidRPr="008F4AEA">
        <w:rPr>
          <w:lang w:val="ru-RU"/>
        </w:rPr>
        <w:t xml:space="preserve">. </w:t>
      </w:r>
      <w:r w:rsidRPr="008F4AEA">
        <w:rPr>
          <w:lang w:val="ru-RU"/>
        </w:rPr>
        <w:lastRenderedPageBreak/>
        <w:t xml:space="preserve">Национальная программа по укреплению и реализации мер антитеррористической мер защиты критически важных объектов инфраструктуры на </w:t>
      </w:r>
      <w:r w:rsidR="005F10CD" w:rsidRPr="008F4AEA">
        <w:rPr>
          <w:lang w:val="ru-RU"/>
        </w:rPr>
        <w:t>2022–</w:t>
      </w:r>
      <w:r w:rsidR="004A5E9F" w:rsidRPr="008F4AEA">
        <w:rPr>
          <w:lang w:val="ru-RU"/>
        </w:rPr>
        <w:t>2026 годы</w:t>
      </w:r>
      <w:r w:rsidRPr="008F4AEA">
        <w:rPr>
          <w:lang w:val="ru-RU"/>
        </w:rPr>
        <w:t xml:space="preserve"> и План действий по ее реализации были приняты в октябре 2022 года. В стране принято законодательство по предотвращению и борьбе с финансированием терроризма в апреле 2023 года.</w:t>
      </w:r>
    </w:p>
    <w:p w14:paraId="20C294C2" w14:textId="77777777" w:rsidR="00CF2426" w:rsidRPr="008F4AEA" w:rsidRDefault="00CF2426" w:rsidP="007572A4">
      <w:pPr>
        <w:pStyle w:val="BodyText"/>
        <w:spacing w:beforeLines="142" w:before="340" w:line="197" w:lineRule="auto"/>
        <w:ind w:left="108" w:right="221"/>
        <w:jc w:val="both"/>
        <w:rPr>
          <w:lang w:val="ru-RU"/>
        </w:rPr>
      </w:pPr>
      <w:r w:rsidRPr="008F4AEA">
        <w:rPr>
          <w:lang w:val="ru-RU"/>
        </w:rPr>
        <w:t xml:space="preserve">Законодательная и институциональная база в области </w:t>
      </w:r>
      <w:r w:rsidR="00544861" w:rsidRPr="004A5E9F">
        <w:rPr>
          <w:b/>
          <w:bCs/>
          <w:lang w:val="ru-RU"/>
        </w:rPr>
        <w:t xml:space="preserve">фундаментальных </w:t>
      </w:r>
      <w:r w:rsidRPr="004A5E9F">
        <w:rPr>
          <w:b/>
          <w:bCs/>
          <w:lang w:val="ru-RU"/>
        </w:rPr>
        <w:t>прав</w:t>
      </w:r>
      <w:r w:rsidRPr="008F4AEA">
        <w:rPr>
          <w:lang w:val="ru-RU"/>
        </w:rPr>
        <w:t xml:space="preserve"> в основном создана, и правительство взяло на себя четкое обязательство выполнять свои международные обязательства в области прав человека. Был предпринят ряд шагов по реализации Конвенции Совета Европы о предотвращении и борьбе с насилием в отношении женщин и насилием в семье. В частности, правительство укрепило мандаты Совета по вопросам равенства и Народного защитника, а также приняло программы по укреплению гендерного равенства и поддержке представителей национальности рома. В ходе реализации программы были приняты меры по укреплению гендерного равенства и поддержке представителей национальности рома, меньшинств, инвалид</w:t>
      </w:r>
      <w:r w:rsidR="00544861" w:rsidRPr="008F4AEA">
        <w:rPr>
          <w:lang w:val="ru-RU"/>
        </w:rPr>
        <w:t>ов</w:t>
      </w:r>
      <w:r w:rsidRPr="008F4AEA">
        <w:rPr>
          <w:lang w:val="ru-RU"/>
        </w:rPr>
        <w:t>, лесбия</w:t>
      </w:r>
      <w:r w:rsidR="00544861" w:rsidRPr="008F4AEA">
        <w:rPr>
          <w:lang w:val="ru-RU"/>
        </w:rPr>
        <w:t>нок</w:t>
      </w:r>
      <w:r w:rsidRPr="008F4AEA">
        <w:rPr>
          <w:lang w:val="ru-RU"/>
        </w:rPr>
        <w:t>, ге</w:t>
      </w:r>
      <w:r w:rsidR="00544861" w:rsidRPr="008F4AEA">
        <w:rPr>
          <w:lang w:val="ru-RU"/>
        </w:rPr>
        <w:t>ев, бисексуалов</w:t>
      </w:r>
      <w:r w:rsidRPr="008F4AEA">
        <w:rPr>
          <w:lang w:val="ru-RU"/>
        </w:rPr>
        <w:t>, трансгендер</w:t>
      </w:r>
      <w:r w:rsidR="00544861" w:rsidRPr="008F4AEA">
        <w:rPr>
          <w:lang w:val="ru-RU"/>
        </w:rPr>
        <w:t>ов</w:t>
      </w:r>
      <w:r w:rsidRPr="008F4AEA">
        <w:rPr>
          <w:lang w:val="ru-RU"/>
        </w:rPr>
        <w:t>, интерсексуал</w:t>
      </w:r>
      <w:r w:rsidR="00544861" w:rsidRPr="008F4AEA">
        <w:rPr>
          <w:lang w:val="ru-RU"/>
        </w:rPr>
        <w:t>ов</w:t>
      </w:r>
      <w:r w:rsidRPr="008F4AEA">
        <w:rPr>
          <w:lang w:val="ru-RU"/>
        </w:rPr>
        <w:t xml:space="preserve"> и гомосексуалист</w:t>
      </w:r>
      <w:r w:rsidR="00544861" w:rsidRPr="008F4AEA">
        <w:rPr>
          <w:lang w:val="ru-RU"/>
        </w:rPr>
        <w:t>ов</w:t>
      </w:r>
      <w:r w:rsidRPr="008F4AEA">
        <w:rPr>
          <w:lang w:val="ru-RU"/>
        </w:rPr>
        <w:t xml:space="preserve"> (ЛГБТИК) и, в частности, представители национальности рома продолжают сталкиваться с дискриминацией, в том числе на рынке труда. Условия содержания в тюрьмах превышают их предполагаемую вместимость и нуждаются в улучшении. Проблемы переполненности тюрем, недостаточного доступа к медицинской помощи, отсутствия сообщений или расследований случаев возможного жестокого обращения и насилия остаются практически нерешенными.</w:t>
      </w:r>
    </w:p>
    <w:p w14:paraId="20C294C3" w14:textId="77777777" w:rsidR="00CF2426" w:rsidRPr="008F4AEA" w:rsidRDefault="00CF2426" w:rsidP="007572A4">
      <w:pPr>
        <w:pStyle w:val="BodyText"/>
        <w:spacing w:beforeLines="142" w:before="340" w:line="197" w:lineRule="auto"/>
        <w:ind w:left="108" w:right="221"/>
        <w:jc w:val="both"/>
        <w:rPr>
          <w:lang w:val="ru-RU"/>
        </w:rPr>
      </w:pPr>
      <w:r w:rsidRPr="008F4AEA">
        <w:rPr>
          <w:lang w:val="ru-RU"/>
        </w:rPr>
        <w:t xml:space="preserve">В Молдове существует плюралистическая медиасреда и определенный уровень подготовки в области </w:t>
      </w:r>
      <w:r w:rsidRPr="00F62A11">
        <w:rPr>
          <w:b/>
          <w:bCs/>
          <w:lang w:val="ru-RU"/>
        </w:rPr>
        <w:t>свободы слова выражения мнений</w:t>
      </w:r>
      <w:r w:rsidRPr="008F4AEA">
        <w:rPr>
          <w:lang w:val="ru-RU"/>
        </w:rPr>
        <w:t xml:space="preserve">. За отчетный период страна добилась определенного прогресса, в частности, по вопросу концентрации собственности. Законодательство содержит положения, направленные на предотвращение концентрации СМИ и обеспечение прозрачности владения СМИ. Совету по аудиовизуальным средствам необходимо активизировать работу по реализации этих норм. Для обеспечения соответствия Европейскому закону о свободе СМИ в Кодексе аудиовизуальных услуг необходимо решить проблему политической предвзятости в государственных СМИ. Правительство предпринимает шаги по борьбе с дезинформацией в СМИ, которая </w:t>
      </w:r>
      <w:proofErr w:type="gramStart"/>
      <w:r w:rsidR="00440E95" w:rsidRPr="008F4AEA">
        <w:rPr>
          <w:lang w:val="ru-RU"/>
        </w:rPr>
        <w:t xml:space="preserve">продолжает </w:t>
      </w:r>
      <w:r w:rsidRPr="008F4AEA">
        <w:rPr>
          <w:lang w:val="ru-RU"/>
        </w:rPr>
        <w:t>оста</w:t>
      </w:r>
      <w:r w:rsidR="00440E95" w:rsidRPr="008F4AEA">
        <w:rPr>
          <w:lang w:val="ru-RU"/>
        </w:rPr>
        <w:t>ваться</w:t>
      </w:r>
      <w:proofErr w:type="gramEnd"/>
      <w:r w:rsidR="00440E95" w:rsidRPr="008F4AEA">
        <w:rPr>
          <w:lang w:val="ru-RU"/>
        </w:rPr>
        <w:t xml:space="preserve"> </w:t>
      </w:r>
      <w:r w:rsidRPr="008F4AEA">
        <w:rPr>
          <w:lang w:val="ru-RU"/>
        </w:rPr>
        <w:t xml:space="preserve">проблемой, особенно с дезинформацией, распространяемой в Интернете. В попытке ограничить российскую дезинформацию в декабре 2022 года Комиссия по </w:t>
      </w:r>
      <w:r w:rsidR="00440E95" w:rsidRPr="008F4AEA">
        <w:rPr>
          <w:lang w:val="ru-RU"/>
        </w:rPr>
        <w:t xml:space="preserve">чрезвычайным </w:t>
      </w:r>
      <w:r w:rsidRPr="008F4AEA">
        <w:rPr>
          <w:lang w:val="ru-RU"/>
        </w:rPr>
        <w:t xml:space="preserve">ситуациям распорядилась приостановить работу шести телеканалов, ретранслирующих контент из России; это решение было оспорено в суде. </w:t>
      </w:r>
      <w:r w:rsidR="00440E95" w:rsidRPr="008F4AEA">
        <w:rPr>
          <w:lang w:val="ru-RU"/>
        </w:rPr>
        <w:t xml:space="preserve"> Также имели место н</w:t>
      </w:r>
      <w:r w:rsidRPr="008F4AEA">
        <w:rPr>
          <w:lang w:val="ru-RU"/>
        </w:rPr>
        <w:t>есколько попыток запугивания и преследования журналистов в 2022 году, в основном в Гагаузии.</w:t>
      </w:r>
    </w:p>
    <w:p w14:paraId="20C294C4" w14:textId="77777777" w:rsidR="00B35CA2" w:rsidRPr="008F4AEA" w:rsidRDefault="00B35CA2" w:rsidP="007572A4">
      <w:pPr>
        <w:pStyle w:val="BodyText"/>
        <w:spacing w:beforeLines="142" w:before="340" w:line="197" w:lineRule="auto"/>
        <w:ind w:left="108" w:right="221"/>
        <w:jc w:val="both"/>
        <w:rPr>
          <w:lang w:val="ru-RU"/>
        </w:rPr>
      </w:pPr>
      <w:r w:rsidRPr="008F4AEA">
        <w:rPr>
          <w:lang w:val="ru-RU"/>
        </w:rPr>
        <w:t xml:space="preserve">Что касается </w:t>
      </w:r>
      <w:r w:rsidRPr="00F62A11">
        <w:rPr>
          <w:b/>
          <w:bCs/>
          <w:lang w:val="ru-RU"/>
        </w:rPr>
        <w:t>добрососедских отношений и регионального сотрудничеств</w:t>
      </w:r>
      <w:r w:rsidRPr="008F4AEA">
        <w:rPr>
          <w:lang w:val="ru-RU"/>
        </w:rPr>
        <w:t>а, то Молдова поддерживает хороший диалог и активно участвует в различных платформах регионального сотрудничества. К ним относятся Центрально-Европейская инициатива (ЦЕИ), Организация Черноморского экономического сотрудничества (ОЧЭС), Организация за демократию и экономическое развитие (ГУАМ), Процесс сотрудничества в Юго-</w:t>
      </w:r>
      <w:r w:rsidRPr="008F4AEA">
        <w:rPr>
          <w:lang w:val="ru-RU"/>
        </w:rPr>
        <w:lastRenderedPageBreak/>
        <w:t xml:space="preserve">Восточной Европе (ПСЮВЕ) и Совет регионального сотрудничества (СРС). Страна также вносит вклад в реализацию Центральноевропейского соглашения о свободной торговле (CEFTA). В 2022 г. Молдова председательствовала в ГУАМ, во второй половине 2022 г. </w:t>
      </w:r>
      <w:r w:rsidR="00036219" w:rsidRPr="008F4AEA">
        <w:rPr>
          <w:lang w:val="ru-RU"/>
        </w:rPr>
        <w:t>–</w:t>
      </w:r>
      <w:r w:rsidRPr="008F4AEA">
        <w:rPr>
          <w:lang w:val="ru-RU"/>
        </w:rPr>
        <w:t xml:space="preserve"> в ОЧЭС, а в январе 2023 г. стала председателем ЦЕИ.</w:t>
      </w:r>
    </w:p>
    <w:p w14:paraId="20C294C5" w14:textId="24294B51" w:rsidR="00541542" w:rsidRPr="008F4AEA" w:rsidRDefault="00541542" w:rsidP="007572A4">
      <w:pPr>
        <w:pStyle w:val="BodyText"/>
        <w:spacing w:beforeLines="142" w:before="340" w:line="197" w:lineRule="auto"/>
        <w:ind w:left="108" w:right="221"/>
        <w:jc w:val="both"/>
        <w:rPr>
          <w:lang w:val="ru-RU"/>
        </w:rPr>
      </w:pPr>
      <w:r w:rsidRPr="008F4AEA">
        <w:rPr>
          <w:lang w:val="ru-RU"/>
        </w:rPr>
        <w:t xml:space="preserve">По </w:t>
      </w:r>
      <w:r w:rsidRPr="00F62A11">
        <w:rPr>
          <w:b/>
          <w:bCs/>
          <w:lang w:val="ru-RU"/>
        </w:rPr>
        <w:t>экономическим критериям</w:t>
      </w:r>
      <w:r w:rsidRPr="008F4AEA">
        <w:rPr>
          <w:lang w:val="ru-RU"/>
        </w:rPr>
        <w:t xml:space="preserve"> Молдова находится между начальной стадией и некоторым уровнем подготовки к созданию функционирующей рыночной экономики. Власти страны сохраняют приверженность достижению макроэкономической стабильности и проведению экономических реформ в сложных экономических и социальных условиях, вызванных полномасштабным вторжением России в соседнюю Украину. В течение последнего десятилетия в условиях пандемии и других неблагоприятных экономических факторов Молдова смогла поддерживать экономический рост в среднем на уровне 3,1% в год. Государственные финансы были стабильными с низким дефицитом (около 1,5% ВВП в среднем за </w:t>
      </w:r>
      <w:r w:rsidR="00F62A11" w:rsidRPr="008F4AEA">
        <w:rPr>
          <w:lang w:val="ru-RU"/>
        </w:rPr>
        <w:t>2014–</w:t>
      </w:r>
      <w:proofErr w:type="gramStart"/>
      <w:r w:rsidR="00F62A11" w:rsidRPr="008F4AEA">
        <w:rPr>
          <w:lang w:val="ru-RU"/>
        </w:rPr>
        <w:t xml:space="preserve">2019 </w:t>
      </w:r>
      <w:r w:rsidRPr="008F4AEA">
        <w:rPr>
          <w:lang w:val="ru-RU"/>
        </w:rPr>
        <w:t xml:space="preserve"> гг.</w:t>
      </w:r>
      <w:proofErr w:type="gramEnd"/>
      <w:r w:rsidRPr="008F4AEA">
        <w:rPr>
          <w:lang w:val="ru-RU"/>
        </w:rPr>
        <w:t xml:space="preserve">) и сравнительно низким уровнем долга. Национальному банку Молдовы в целом удавалось удерживать инфляцию в пределах целевого диапазона, установленного на уровне 5% (+/-1,5 процентного пункта). После сильного подъема </w:t>
      </w:r>
      <w:r w:rsidR="00036219" w:rsidRPr="008F4AEA">
        <w:rPr>
          <w:lang w:val="ru-RU"/>
        </w:rPr>
        <w:t>в период пост-</w:t>
      </w:r>
      <w:r w:rsidRPr="008F4AEA">
        <w:rPr>
          <w:lang w:val="ru-RU"/>
        </w:rPr>
        <w:t>кризиса COVID-19 рост резко сократился в 2022 году из-за энергетического кризиса и сильной засухи, которая привела к резкому падению производства в сельском хозяйстве и смежных отраслях. Высокая инфляция, вызванная резким ростом цен на энергоносители и продовольствие, привела к снижению располагаемых доходов и потребления населения, а неопределенность, связанная с военными действиями, способствовала сокращению инвестиций. Что касается внешних факторов, то и без того высокий дефицит счета текущих операций еще больше увеличился, что отражает слабость экспортной базы и низкую производительность труда. В результате глубокой рецессии и увеличения социальных расходов для смягчения ценового шока на энергоносители дефицит бюджета увеличился в 2022 году и, по прогнозам, останется на сопоставимом уровне в 2023 году. Государственный долг остается низким и в значительной степени пролонгируется на льготных условиях.</w:t>
      </w:r>
    </w:p>
    <w:p w14:paraId="20C294C6" w14:textId="77777777" w:rsidR="00C70088" w:rsidRPr="008F4AEA" w:rsidRDefault="00C70088" w:rsidP="007572A4">
      <w:pPr>
        <w:pStyle w:val="BodyText"/>
        <w:spacing w:beforeLines="142" w:before="340" w:line="197" w:lineRule="auto"/>
        <w:ind w:left="108" w:right="221"/>
        <w:jc w:val="both"/>
        <w:rPr>
          <w:lang w:val="ru-RU"/>
        </w:rPr>
      </w:pPr>
      <w:r w:rsidRPr="008F4AEA">
        <w:rPr>
          <w:lang w:val="ru-RU"/>
        </w:rPr>
        <w:t>Государство по-прежнему оказывает значительное влияние на ключевые отрасли экономики, включая телекоммуникации, энергетику и транспорт, а также на установление цен. Власти проводят комплексную проверку государственных предприятий, некоторые из которых являются убыточными, с целью их реструктуризации и приватизации. Одновременно ведется работа по совершенствованию корпоративного управления и подотчетности в этом секторе. Несмотря на экономический спад, финансовый сектор остается стабильным, что отражает влияние предыдущих реформ и оперативных мер регулирования, направленных на сдерживание стремительного роста кредитования населения. Рынок труда восстановился после пандемии и был относительно устойчивым в 2022. Однако он по-прежнему характеризуется очень низким уровнем участия, что связано с высокой долей людей, работающих за рубежом или только желающих работать за границей.</w:t>
      </w:r>
    </w:p>
    <w:p w14:paraId="20C294C7" w14:textId="77777777" w:rsidR="00C70088" w:rsidRPr="008F4AEA" w:rsidRDefault="00DC148B" w:rsidP="007572A4">
      <w:pPr>
        <w:pStyle w:val="BodyText"/>
        <w:spacing w:beforeLines="142" w:before="340" w:line="197" w:lineRule="auto"/>
        <w:ind w:left="108" w:right="221"/>
        <w:jc w:val="both"/>
        <w:rPr>
          <w:lang w:val="ru-RU"/>
        </w:rPr>
      </w:pPr>
      <w:r w:rsidRPr="008F4AEA">
        <w:rPr>
          <w:lang w:val="ru-RU"/>
        </w:rPr>
        <w:t xml:space="preserve">Молдова находится между начальной стадией и некоторым уровнем </w:t>
      </w:r>
      <w:r w:rsidRPr="008F4AEA">
        <w:rPr>
          <w:lang w:val="ru-RU"/>
        </w:rPr>
        <w:lastRenderedPageBreak/>
        <w:t>подготовки с точки зрения способности противостоять конкурентному давлению и рыночным силам в ЕС. Несмотря на значительные инвестиции в образование, результаты обучения остаются значительно ниже, чем в ЕС. Это способствует сохранению несоответствия между уровнем квалификации рабочей силы и тем, что требуется работодателям, что является одним из основных препятствий для компаний. Инвестиции в исследования и разработки остаются низкими и сокращаются, несмотря на стратегию правительства по их увеличению. Физическая инфраструктура Молдовы остается неразвитой, что отчасти объясняется отсутствием государственных инвестиций. Объем прямых иностранных инвестиций также невелик, что отражает слабость деловой среды и сохраняющиеся проблемы с коррупцией и защитой прав собственности. Цифровизация отстает: чуть более двух третей домохозяйств подключены к Интернету, а около 40% государственных услуг для бизнеса доступны в режиме онлайн. Экономика Молдовы по-прежнему в значительной степени зависит от сельскохозяйственного сектора, и существует большой разрыв в производительности труда по сравнению с ЕС. Молдова является страной с относительно открытой экономикой и тесно интегрирована с экономикой ЕС.</w:t>
      </w:r>
    </w:p>
    <w:p w14:paraId="20C294C8" w14:textId="7DA0B897" w:rsidR="00DC148B" w:rsidRPr="008F4AEA" w:rsidRDefault="00DC148B" w:rsidP="007572A4">
      <w:pPr>
        <w:pStyle w:val="BodyText"/>
        <w:spacing w:beforeLines="142" w:before="340" w:line="197" w:lineRule="auto"/>
        <w:ind w:left="108" w:right="221"/>
        <w:jc w:val="both"/>
        <w:rPr>
          <w:lang w:val="ru-RU"/>
        </w:rPr>
      </w:pPr>
      <w:r w:rsidRPr="008F4AEA">
        <w:rPr>
          <w:lang w:val="ru-RU"/>
        </w:rPr>
        <w:t xml:space="preserve">Что касается способности принять на себя обязательства, связанные с членством в ЕС, то страна продолжает работу </w:t>
      </w:r>
      <w:r w:rsidR="00F62A11" w:rsidRPr="008F4AEA">
        <w:rPr>
          <w:lang w:val="ru-RU"/>
        </w:rPr>
        <w:t>по приведению</w:t>
      </w:r>
      <w:r w:rsidRPr="008F4AEA">
        <w:rPr>
          <w:lang w:val="ru-RU"/>
        </w:rPr>
        <w:t xml:space="preserve"> в соответствие с нормами ЕС во многих областях. Молдова находится на начальной стадии подготовки в отношении свободы передвижения работников </w:t>
      </w:r>
      <w:r w:rsidRPr="00F62A11">
        <w:rPr>
          <w:b/>
          <w:bCs/>
          <w:lang w:val="ru-RU"/>
        </w:rPr>
        <w:t>кластера 2 на внутреннем рынке</w:t>
      </w:r>
      <w:r w:rsidRPr="008F4AEA">
        <w:rPr>
          <w:lang w:val="ru-RU"/>
        </w:rPr>
        <w:t>. В области корпоративного права Молдова находится между ранней стадией и некоторым уровнем подготовки. В других областях, относящихся к данному кластеру, наблюдается определенный уровень подготовка в других областях, относящихся к данному кластеру: право на создание предприятия и свобода предоставления услуг, свободное перемещение товаров, интеллектуальная собственность услуг, свободное перемещение товаров, право интеллектуальной собственности, финансовые услуги, конкурентная политика, защита прав потребителей и здоровья. За отчетный период в этих областях был достигнут ограниченный или некоторый прогресс, значительный прогресс был достигнут в сфере финансовых услуг, а также определенный прогресс был достигнут в области свободном движении капитала.</w:t>
      </w:r>
    </w:p>
    <w:p w14:paraId="20C294C9" w14:textId="77777777" w:rsidR="0042763B" w:rsidRPr="008F4AEA" w:rsidRDefault="0042763B" w:rsidP="00FB1851">
      <w:pPr>
        <w:pStyle w:val="BodyText"/>
        <w:spacing w:beforeLines="142" w:before="340" w:line="197" w:lineRule="auto"/>
        <w:ind w:right="221"/>
        <w:jc w:val="both"/>
        <w:rPr>
          <w:lang w:val="ru-RU"/>
        </w:rPr>
      </w:pPr>
      <w:r w:rsidRPr="008F4AEA">
        <w:rPr>
          <w:lang w:val="ru-RU"/>
        </w:rPr>
        <w:t xml:space="preserve">Молдова показывает умеренный уровень подготовки в областях, связанных с </w:t>
      </w:r>
      <w:r w:rsidRPr="00F62A11">
        <w:rPr>
          <w:b/>
          <w:bCs/>
          <w:lang w:val="ru-RU"/>
        </w:rPr>
        <w:t>кластером 3 «Конкурентоспособность и инклюзивный рост»</w:t>
      </w:r>
      <w:r w:rsidRPr="008F4AEA">
        <w:rPr>
          <w:lang w:val="ru-RU"/>
        </w:rPr>
        <w:t>. Она добилась определенного прогресса в области экономической и денежно-кредитной политики, политики в области предпринимательства и промышленности, науки и исследований, а также образования и культуры. Она достигла определенного уровня подготовки в области цифровой трансформации, средств массовой информации и налогообложения, где также добилась значительного прогресса. Молдова имеет определенный уровень подготовки в области социальной политики и занятости, где был достигнут некоторый прогресс. В области таможенного союза Молдова находится между н</w:t>
      </w:r>
      <w:r w:rsidR="00882DB9" w:rsidRPr="008F4AEA">
        <w:rPr>
          <w:lang w:val="ru-RU"/>
        </w:rPr>
        <w:t xml:space="preserve">езначительным </w:t>
      </w:r>
      <w:r w:rsidRPr="008F4AEA">
        <w:rPr>
          <w:lang w:val="ru-RU"/>
        </w:rPr>
        <w:t>и умеренным уровнем подготовки и достигла некоторого прогресса за отчетный период.</w:t>
      </w:r>
    </w:p>
    <w:p w14:paraId="20C294CA" w14:textId="77777777" w:rsidR="0042763B" w:rsidRPr="008F4AEA" w:rsidRDefault="0042763B" w:rsidP="007572A4">
      <w:pPr>
        <w:pStyle w:val="BodyText"/>
        <w:spacing w:beforeLines="142" w:before="340" w:line="197" w:lineRule="auto"/>
        <w:ind w:left="108" w:right="221"/>
        <w:jc w:val="both"/>
        <w:rPr>
          <w:lang w:val="ru-RU"/>
        </w:rPr>
      </w:pPr>
      <w:r w:rsidRPr="008F4AEA">
        <w:rPr>
          <w:lang w:val="ru-RU"/>
        </w:rPr>
        <w:t xml:space="preserve">По </w:t>
      </w:r>
      <w:r w:rsidRPr="00F62A11">
        <w:rPr>
          <w:b/>
          <w:bCs/>
          <w:lang w:val="ru-RU"/>
        </w:rPr>
        <w:t xml:space="preserve">кластеру 4 «Зеленая повестка дня и устойчивая </w:t>
      </w:r>
      <w:r w:rsidRPr="00F62A11">
        <w:rPr>
          <w:b/>
          <w:bCs/>
          <w:lang w:val="ru-RU"/>
        </w:rPr>
        <w:lastRenderedPageBreak/>
        <w:t>взаимосвязь»</w:t>
      </w:r>
      <w:r w:rsidRPr="008F4AEA">
        <w:rPr>
          <w:lang w:val="ru-RU"/>
        </w:rPr>
        <w:t xml:space="preserve"> Молдова находится на ранней стадии подготовки в области охраны окружающей среды и изменения климата. За отчетный период она добилась определенного прогресса, приняв </w:t>
      </w:r>
      <w:proofErr w:type="spellStart"/>
      <w:r w:rsidRPr="008F4AEA">
        <w:rPr>
          <w:lang w:val="ru-RU"/>
        </w:rPr>
        <w:t>межсекторальное</w:t>
      </w:r>
      <w:proofErr w:type="spellEnd"/>
      <w:r w:rsidRPr="008F4AEA">
        <w:rPr>
          <w:lang w:val="ru-RU"/>
        </w:rPr>
        <w:t xml:space="preserve"> экологическое законодательство и внедрив законы об охране природы и промышленных выбросах. Молдова имеет определенный уровень подготовки в области транспорта и трансъевропейских сетей, включая присоединение к Фонду "Соединяя Европу" и статус наблюдателя в Транспортном сообществе. В области энергетики Молдова добилась значительного прогресса: в Ежегодном отчете о выполнении решений Энергетического сообщества за 2022 год она имеет самый высокий показатель среди договаривающихся сторон.</w:t>
      </w:r>
    </w:p>
    <w:p w14:paraId="20C294CB" w14:textId="77777777" w:rsidR="00D03A23" w:rsidRPr="008F4AEA" w:rsidRDefault="00D03A23" w:rsidP="007572A4">
      <w:pPr>
        <w:pStyle w:val="BodyText"/>
        <w:spacing w:beforeLines="142" w:before="340" w:line="197" w:lineRule="auto"/>
        <w:ind w:left="108" w:right="221"/>
        <w:jc w:val="both"/>
        <w:rPr>
          <w:lang w:val="ru-RU"/>
        </w:rPr>
      </w:pPr>
      <w:r w:rsidRPr="008F4AEA">
        <w:rPr>
          <w:lang w:val="ru-RU"/>
        </w:rPr>
        <w:t xml:space="preserve">Молдова в основном находится на ранней стадии подготовки по всем главам </w:t>
      </w:r>
      <w:r w:rsidRPr="00F62A11">
        <w:rPr>
          <w:b/>
          <w:bCs/>
          <w:lang w:val="ru-RU"/>
        </w:rPr>
        <w:t>кластера 5, касающимся ресурсов, сельско</w:t>
      </w:r>
      <w:r w:rsidR="00882DB9" w:rsidRPr="00F62A11">
        <w:rPr>
          <w:b/>
          <w:bCs/>
          <w:lang w:val="ru-RU"/>
        </w:rPr>
        <w:t>го</w:t>
      </w:r>
      <w:r w:rsidRPr="00F62A11">
        <w:rPr>
          <w:b/>
          <w:bCs/>
          <w:lang w:val="ru-RU"/>
        </w:rPr>
        <w:t xml:space="preserve"> хозяйств</w:t>
      </w:r>
      <w:r w:rsidR="00882DB9" w:rsidRPr="00F62A11">
        <w:rPr>
          <w:b/>
          <w:bCs/>
          <w:lang w:val="ru-RU"/>
        </w:rPr>
        <w:t>а</w:t>
      </w:r>
      <w:r w:rsidRPr="00F62A11">
        <w:rPr>
          <w:b/>
          <w:bCs/>
          <w:lang w:val="ru-RU"/>
        </w:rPr>
        <w:t xml:space="preserve"> и сплоченност</w:t>
      </w:r>
      <w:r w:rsidR="00882DB9" w:rsidRPr="00F62A11">
        <w:rPr>
          <w:b/>
          <w:bCs/>
          <w:lang w:val="ru-RU"/>
        </w:rPr>
        <w:t>и</w:t>
      </w:r>
      <w:r w:rsidRPr="008F4AEA">
        <w:rPr>
          <w:lang w:val="ru-RU"/>
        </w:rPr>
        <w:t xml:space="preserve">, за исключением безопасности пищевых продуктов, ветеринарной и фитосанитарной политики, где достигнут определенный уровень подготовки. В целом за отчетный период был достигнут хороший прогресс по разделам продовольственной безопасности, ветеринарной и фитосанитарной политики. </w:t>
      </w:r>
      <w:r w:rsidR="00882DB9" w:rsidRPr="008F4AEA">
        <w:rPr>
          <w:lang w:val="ru-RU"/>
        </w:rPr>
        <w:t>По остальным разделам достигнут незначительный и ограниченный прогресс. Во всех этих областях необходимы дальнейшие усилия.</w:t>
      </w:r>
    </w:p>
    <w:p w14:paraId="20C294CC" w14:textId="77777777" w:rsidR="00A27D6B" w:rsidRPr="008F4AEA" w:rsidRDefault="000D1599" w:rsidP="00FB1851">
      <w:pPr>
        <w:pStyle w:val="BodyText"/>
        <w:spacing w:beforeLines="142" w:before="340" w:line="197" w:lineRule="auto"/>
        <w:ind w:right="221"/>
        <w:jc w:val="both"/>
        <w:rPr>
          <w:lang w:val="ru-RU"/>
        </w:rPr>
      </w:pPr>
      <w:r w:rsidRPr="008F4AEA">
        <w:rPr>
          <w:lang w:val="ru-RU"/>
        </w:rPr>
        <w:t xml:space="preserve">По </w:t>
      </w:r>
      <w:r w:rsidRPr="00F62A11">
        <w:rPr>
          <w:b/>
          <w:bCs/>
          <w:lang w:val="ru-RU"/>
        </w:rPr>
        <w:t xml:space="preserve">кластеру 6, посвященному внешним связям, </w:t>
      </w:r>
      <w:r w:rsidRPr="008F4AEA">
        <w:rPr>
          <w:lang w:val="ru-RU"/>
        </w:rPr>
        <w:t>Молдова имеет умеренный уровень подготовки в области внешних отношений, где за отчетный период был достигнут определенный прогресс. В области общей, внешней политики, политики безопасности и обороны страна находится между умеренным и хорошим уровнем подготовки. В последней области за отчетный период был достигнут значительный прогресс. Соответствие Молдовы заявлениям В</w:t>
      </w:r>
      <w:r w:rsidR="00882DB9" w:rsidRPr="008F4AEA">
        <w:rPr>
          <w:lang w:val="ru-RU"/>
        </w:rPr>
        <w:t xml:space="preserve">ерховного </w:t>
      </w:r>
      <w:r w:rsidRPr="008F4AEA">
        <w:rPr>
          <w:lang w:val="ru-RU"/>
        </w:rPr>
        <w:t>представителя от имени ЕС и решениям Совета в рамках общей внешней политики и политики безопасности ЕС (ОВПБ) составило 54% в 2022 году и значительно увеличилось до 78% в 2023 году. После агрессивной войны России против Украины Молдова присоединилась к позиции ЕС на международных форумах, в том числе в Генеральной Ассамблее ООН (ГА ООН), Совете по правам человека и Совете Европы.</w:t>
      </w:r>
      <w:r w:rsidR="00882DB9" w:rsidRPr="008F4AEA">
        <w:rPr>
          <w:lang w:val="ru-RU"/>
        </w:rPr>
        <w:t xml:space="preserve"> </w:t>
      </w:r>
      <w:r w:rsidR="00A27D6B" w:rsidRPr="008F4AEA">
        <w:rPr>
          <w:lang w:val="ru-RU"/>
        </w:rPr>
        <w:t xml:space="preserve">Что касается </w:t>
      </w:r>
      <w:r w:rsidR="00A27D6B" w:rsidRPr="004421AF">
        <w:rPr>
          <w:b/>
          <w:bCs/>
          <w:lang w:val="ru-RU"/>
        </w:rPr>
        <w:t>миграции</w:t>
      </w:r>
      <w:r w:rsidR="00A27D6B" w:rsidRPr="008F4AEA">
        <w:rPr>
          <w:lang w:val="ru-RU"/>
        </w:rPr>
        <w:t>, то после начала агрессивной войны России против Украины Молдова столкнулась с беспрецедентным притоком беженцев (самое большое количество беженцев на душу населения в Европе). По состоянию на 31 июля 2023 г., с момента полномасштабного вторжения России в Украину, из 792 605 человек, въехавших в Молдову через украинскую границу, на ее территории оставалось 86 363 гражданина Украины и 7 624 гражданина третьих стран. С 1 марта 2023 года введен в действие указ о предоставлении временной защиты перемещенным лицам из Украины, позволяющий их получателям получить документ, удостоверяющий личность, выдаваемый бесплатно сроком на 1 год. После беспрецедентного наплыва людей, бегущих из Украины, что создало нагрузку на и без того ограниченные возможности Молдовы, власти страны не ослабили усилий и мобилизовали ресурсы для оказания немедленной гуманитарной помощи в соответствии с режимом чрезвычайного положения.</w:t>
      </w:r>
    </w:p>
    <w:p w14:paraId="20C294CD" w14:textId="77777777" w:rsidR="00D11D45" w:rsidRPr="004421AF" w:rsidRDefault="00D11D45" w:rsidP="007572A4">
      <w:pPr>
        <w:pStyle w:val="BodyText"/>
        <w:spacing w:beforeLines="142" w:before="340" w:line="197" w:lineRule="auto"/>
        <w:ind w:left="108" w:right="221"/>
        <w:jc w:val="both"/>
        <w:rPr>
          <w:b/>
          <w:bCs/>
          <w:lang w:val="ru-RU"/>
        </w:rPr>
      </w:pPr>
      <w:r w:rsidRPr="004421AF">
        <w:rPr>
          <w:b/>
          <w:bCs/>
          <w:lang w:val="ru-RU"/>
        </w:rPr>
        <w:t>Основные даты</w:t>
      </w:r>
    </w:p>
    <w:p w14:paraId="20C294CE" w14:textId="77777777" w:rsidR="00D11D45" w:rsidRPr="008F4AEA" w:rsidRDefault="00D11D45" w:rsidP="007572A4">
      <w:pPr>
        <w:pStyle w:val="BodyText"/>
        <w:spacing w:beforeLines="142" w:before="340" w:line="197" w:lineRule="auto"/>
        <w:ind w:left="108" w:right="221"/>
        <w:jc w:val="both"/>
        <w:rPr>
          <w:lang w:val="ru-RU"/>
        </w:rPr>
      </w:pPr>
      <w:r w:rsidRPr="004421AF">
        <w:rPr>
          <w:b/>
          <w:bCs/>
          <w:lang w:val="ru-RU"/>
        </w:rPr>
        <w:lastRenderedPageBreak/>
        <w:t>3 марта 2022 г.:</w:t>
      </w:r>
      <w:r w:rsidRPr="008F4AEA">
        <w:rPr>
          <w:lang w:val="ru-RU"/>
        </w:rPr>
        <w:t xml:space="preserve"> Молдова подает заявку на вступление в ЕС.</w:t>
      </w:r>
    </w:p>
    <w:p w14:paraId="20C294CF" w14:textId="3F7A67AF" w:rsidR="00D11D45" w:rsidRPr="008F4AEA" w:rsidRDefault="00D11D45" w:rsidP="007572A4">
      <w:pPr>
        <w:pStyle w:val="BodyText"/>
        <w:spacing w:beforeLines="142" w:before="340" w:line="197" w:lineRule="auto"/>
        <w:ind w:left="108" w:right="221"/>
        <w:jc w:val="both"/>
        <w:rPr>
          <w:lang w:val="ru-RU"/>
        </w:rPr>
      </w:pPr>
      <w:r w:rsidRPr="004421AF">
        <w:rPr>
          <w:b/>
          <w:bCs/>
          <w:lang w:val="ru-RU"/>
        </w:rPr>
        <w:t>17 июня 2022 г.</w:t>
      </w:r>
      <w:r w:rsidRPr="008F4AEA">
        <w:rPr>
          <w:lang w:val="ru-RU"/>
        </w:rPr>
        <w:t xml:space="preserve">: Европейская комиссия представляет свое </w:t>
      </w:r>
      <w:hyperlink r:id="rId8" w:history="1">
        <w:r w:rsidRPr="00326EA5">
          <w:rPr>
            <w:rStyle w:val="Hyperlink"/>
            <w:lang w:val="ru-RU"/>
          </w:rPr>
          <w:t>заключение</w:t>
        </w:r>
      </w:hyperlink>
      <w:r w:rsidRPr="008F4AEA">
        <w:rPr>
          <w:lang w:val="ru-RU"/>
        </w:rPr>
        <w:t xml:space="preserve"> по заявке Молдовы на членство в ЕС. Комиссия рекомендовала Совету предоставить Молдове статус кандидата при условии, что будут предприняты 9 шагов.</w:t>
      </w:r>
    </w:p>
    <w:p w14:paraId="20C294D0" w14:textId="1BBA28DE" w:rsidR="00D11D45" w:rsidRPr="008F4AEA" w:rsidRDefault="00D11D45" w:rsidP="00FB1851">
      <w:pPr>
        <w:pStyle w:val="BodyText"/>
        <w:spacing w:beforeLines="142" w:before="340" w:line="197" w:lineRule="auto"/>
        <w:ind w:right="221"/>
        <w:jc w:val="both"/>
        <w:rPr>
          <w:lang w:val="ru-RU"/>
        </w:rPr>
      </w:pPr>
      <w:r w:rsidRPr="004421AF">
        <w:rPr>
          <w:b/>
          <w:bCs/>
          <w:lang w:val="ru-RU"/>
        </w:rPr>
        <w:t>23 июня 2022 г.</w:t>
      </w:r>
      <w:r w:rsidRPr="008F4AEA">
        <w:rPr>
          <w:lang w:val="ru-RU"/>
        </w:rPr>
        <w:t xml:space="preserve">: Европейский совет предоставляет Молдове </w:t>
      </w:r>
      <w:hyperlink r:id="rId9" w:history="1">
        <w:r w:rsidRPr="00AA10F6">
          <w:rPr>
            <w:rStyle w:val="Hyperlink"/>
            <w:lang w:val="ru-RU"/>
          </w:rPr>
          <w:t>статус кандидата</w:t>
        </w:r>
      </w:hyperlink>
      <w:r w:rsidRPr="008F4AEA">
        <w:rPr>
          <w:lang w:val="ru-RU"/>
        </w:rPr>
        <w:t>.</w:t>
      </w:r>
    </w:p>
    <w:p w14:paraId="20C294D1" w14:textId="77777777" w:rsidR="00D11D45" w:rsidRPr="008F4AEA" w:rsidRDefault="00D11D45" w:rsidP="00FB1851">
      <w:pPr>
        <w:pStyle w:val="BodyText"/>
        <w:spacing w:beforeLines="142" w:before="340" w:line="197" w:lineRule="auto"/>
        <w:ind w:right="221"/>
        <w:jc w:val="both"/>
        <w:rPr>
          <w:lang w:val="ru-RU"/>
        </w:rPr>
      </w:pPr>
      <w:r w:rsidRPr="004421AF">
        <w:rPr>
          <w:b/>
          <w:bCs/>
          <w:lang w:val="ru-RU"/>
        </w:rPr>
        <w:t>1 февраля 2023 г.</w:t>
      </w:r>
      <w:r w:rsidRPr="008F4AEA">
        <w:rPr>
          <w:lang w:val="ru-RU"/>
        </w:rPr>
        <w:t>: Европейская комиссия представила Аналитический отчет, дополняющий Заключение Комиссии по заявке Молдовы на членство в ЕС, принятое 17 июня 2022 г.</w:t>
      </w:r>
    </w:p>
    <w:p w14:paraId="20C294D2" w14:textId="77777777" w:rsidR="00D11D45" w:rsidRDefault="00D11D45" w:rsidP="00FB1851">
      <w:pPr>
        <w:pStyle w:val="BodyText"/>
        <w:spacing w:beforeLines="142" w:before="340" w:line="197" w:lineRule="auto"/>
        <w:ind w:right="221"/>
        <w:jc w:val="both"/>
        <w:rPr>
          <w:lang w:val="ru-RU"/>
        </w:rPr>
      </w:pPr>
      <w:r w:rsidRPr="004421AF">
        <w:rPr>
          <w:b/>
          <w:bCs/>
          <w:lang w:val="ru-RU"/>
        </w:rPr>
        <w:t>Ноябрь 2023 г.</w:t>
      </w:r>
      <w:r w:rsidRPr="008F4AEA">
        <w:rPr>
          <w:lang w:val="ru-RU"/>
        </w:rPr>
        <w:t>: Комиссия рекомендует Совету открыть переговоры о вступлении в ЕС с Молдовой и будет осуществлять мониторинг прогресса и соблюдения требований во всех областях, связанных с открытием переговоров, и представит Совету доклад к марту 2024 г.</w:t>
      </w:r>
    </w:p>
    <w:p w14:paraId="5D767891" w14:textId="77777777" w:rsidR="00AA10F6" w:rsidRPr="008F4AEA" w:rsidRDefault="00AA10F6" w:rsidP="007572A4">
      <w:pPr>
        <w:pStyle w:val="BodyText"/>
        <w:spacing w:beforeLines="142" w:before="340" w:line="197" w:lineRule="auto"/>
        <w:ind w:left="108" w:right="221"/>
        <w:jc w:val="both"/>
        <w:rPr>
          <w:lang w:val="ru-RU"/>
        </w:rPr>
      </w:pPr>
    </w:p>
    <w:p w14:paraId="20C294D3" w14:textId="77777777" w:rsidR="00D11D45" w:rsidRPr="00AA10F6" w:rsidRDefault="00D11D45" w:rsidP="00FB1851">
      <w:pPr>
        <w:pStyle w:val="BodyText"/>
        <w:spacing w:beforeLines="142" w:before="340" w:line="197" w:lineRule="auto"/>
        <w:ind w:right="221"/>
        <w:jc w:val="both"/>
        <w:rPr>
          <w:b/>
          <w:bCs/>
          <w:lang w:val="ru-RU"/>
        </w:rPr>
      </w:pPr>
      <w:r w:rsidRPr="00AA10F6">
        <w:rPr>
          <w:b/>
          <w:bCs/>
          <w:lang w:val="ru-RU"/>
        </w:rPr>
        <w:t xml:space="preserve">Дополнительная информация: </w:t>
      </w:r>
    </w:p>
    <w:p w14:paraId="20C294D4" w14:textId="5F152830" w:rsidR="00D11D45" w:rsidRPr="008F4AEA" w:rsidRDefault="001530E3" w:rsidP="00FB1851">
      <w:pPr>
        <w:pStyle w:val="BodyText"/>
        <w:spacing w:beforeLines="142" w:before="340" w:line="197" w:lineRule="auto"/>
        <w:ind w:right="221"/>
        <w:jc w:val="both"/>
        <w:rPr>
          <w:lang w:val="ru-RU"/>
        </w:rPr>
      </w:pPr>
      <w:hyperlink r:id="rId10" w:history="1">
        <w:r w:rsidR="00D11D45" w:rsidRPr="001530E3">
          <w:rPr>
            <w:rStyle w:val="Hyperlink"/>
            <w:lang w:val="ru-RU"/>
          </w:rPr>
          <w:t>Moldova Report 2023</w:t>
        </w:r>
      </w:hyperlink>
    </w:p>
    <w:p w14:paraId="20C294D5" w14:textId="1EFE6CD6" w:rsidR="00D11D45" w:rsidRPr="008F4AEA" w:rsidRDefault="002E42FA" w:rsidP="00FB1851">
      <w:pPr>
        <w:pStyle w:val="BodyText"/>
        <w:spacing w:beforeLines="142" w:before="340" w:line="197" w:lineRule="auto"/>
        <w:ind w:right="221"/>
        <w:jc w:val="both"/>
        <w:rPr>
          <w:lang w:val="ru-RU"/>
        </w:rPr>
      </w:pPr>
      <w:hyperlink r:id="rId11" w:history="1">
        <w:r w:rsidR="00D11D45" w:rsidRPr="002E42FA">
          <w:rPr>
            <w:rStyle w:val="Hyperlink"/>
            <w:lang w:val="ru-RU"/>
          </w:rPr>
          <w:t xml:space="preserve">2023 Communication </w:t>
        </w:r>
        <w:proofErr w:type="spellStart"/>
        <w:r w:rsidR="00D11D45" w:rsidRPr="002E42FA">
          <w:rPr>
            <w:rStyle w:val="Hyperlink"/>
            <w:lang w:val="ru-RU"/>
          </w:rPr>
          <w:t>on</w:t>
        </w:r>
        <w:proofErr w:type="spellEnd"/>
        <w:r w:rsidR="00D11D45" w:rsidRPr="002E42FA">
          <w:rPr>
            <w:rStyle w:val="Hyperlink"/>
            <w:lang w:val="ru-RU"/>
          </w:rPr>
          <w:t xml:space="preserve"> EU </w:t>
        </w:r>
        <w:proofErr w:type="spellStart"/>
        <w:r w:rsidR="00D11D45" w:rsidRPr="002E42FA">
          <w:rPr>
            <w:rStyle w:val="Hyperlink"/>
            <w:lang w:val="ru-RU"/>
          </w:rPr>
          <w:t>Enlargement</w:t>
        </w:r>
        <w:proofErr w:type="spellEnd"/>
        <w:r w:rsidR="00D11D45" w:rsidRPr="002E42FA">
          <w:rPr>
            <w:rStyle w:val="Hyperlink"/>
            <w:lang w:val="ru-RU"/>
          </w:rPr>
          <w:t xml:space="preserve"> Policy</w:t>
        </w:r>
      </w:hyperlink>
    </w:p>
    <w:p w14:paraId="20C294D6" w14:textId="75A5AD80" w:rsidR="00D11D45" w:rsidRPr="008F4AEA" w:rsidRDefault="00FB1851" w:rsidP="007572A4">
      <w:pPr>
        <w:pStyle w:val="BodyText"/>
        <w:spacing w:beforeLines="142" w:before="340" w:line="197" w:lineRule="auto"/>
        <w:ind w:left="108" w:right="221"/>
        <w:jc w:val="both"/>
        <w:rPr>
          <w:lang w:val="ru-RU"/>
        </w:rPr>
      </w:pPr>
      <w:r>
        <w:rPr>
          <w:noProof/>
          <w:lang w:val="ru-RU"/>
        </w:rPr>
        <w:pict w14:anchorId="58AD9CA2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73.45pt;margin-top:41.6pt;width:472.95pt;height:86.45pt;z-index:-251657728;mso-wrap-distance-left:0;mso-wrap-distance-right:0;mso-position-horizontal-relative:page" filled="f" strokecolor="#7f7f7f" strokeweight=".21172mm">
            <v:textbox inset="0,0,0,0">
              <w:txbxContent>
                <w:p w14:paraId="37C5E35F" w14:textId="688E53D9" w:rsidR="00194186" w:rsidRPr="00FB1851" w:rsidRDefault="00194186" w:rsidP="00194186">
                  <w:pPr>
                    <w:spacing w:before="97"/>
                    <w:ind w:left="84"/>
                    <w:rPr>
                      <w:sz w:val="19"/>
                    </w:rPr>
                  </w:pPr>
                  <w:r w:rsidRPr="00FB1851">
                    <w:rPr>
                      <w:spacing w:val="-2"/>
                      <w:w w:val="95"/>
                      <w:sz w:val="19"/>
                    </w:rPr>
                    <w:t>Контакты для прессы:</w:t>
                  </w:r>
                </w:p>
                <w:p w14:paraId="3DB07ED1" w14:textId="77777777" w:rsidR="00194186" w:rsidRPr="00FB1851" w:rsidRDefault="00194186" w:rsidP="00194186">
                  <w:pPr>
                    <w:spacing w:before="117" w:line="211" w:lineRule="exact"/>
                    <w:ind w:left="564"/>
                    <w:rPr>
                      <w:sz w:val="19"/>
                    </w:rPr>
                  </w:pPr>
                  <w:hyperlink r:id="rId12">
                    <w:r w:rsidRPr="00FB1851">
                      <w:rPr>
                        <w:color w:val="0000ED"/>
                        <w:w w:val="80"/>
                        <w:sz w:val="19"/>
                        <w:u w:val="single" w:color="0000ED"/>
                      </w:rPr>
                      <w:t>Ana</w:t>
                    </w:r>
                    <w:r w:rsidRPr="00FB1851">
                      <w:rPr>
                        <w:color w:val="0000ED"/>
                        <w:spacing w:val="-1"/>
                        <w:w w:val="80"/>
                        <w:sz w:val="19"/>
                        <w:u w:val="single" w:color="0000ED"/>
                      </w:rPr>
                      <w:t xml:space="preserve"> </w:t>
                    </w:r>
                    <w:r w:rsidRPr="00FB1851">
                      <w:rPr>
                        <w:color w:val="0000ED"/>
                        <w:w w:val="80"/>
                        <w:sz w:val="19"/>
                        <w:u w:val="single" w:color="0000ED"/>
                      </w:rPr>
                      <w:t>PISONERO-HERNANDEZ</w:t>
                    </w:r>
                  </w:hyperlink>
                  <w:r w:rsidRPr="00FB1851">
                    <w:rPr>
                      <w:color w:val="0000ED"/>
                      <w:spacing w:val="-13"/>
                      <w:sz w:val="19"/>
                    </w:rPr>
                    <w:t xml:space="preserve"> </w:t>
                  </w:r>
                  <w:r w:rsidRPr="00FB1851">
                    <w:rPr>
                      <w:w w:val="80"/>
                      <w:sz w:val="19"/>
                    </w:rPr>
                    <w:t>(+32</w:t>
                  </w:r>
                  <w:r w:rsidRPr="00FB1851">
                    <w:rPr>
                      <w:spacing w:val="-3"/>
                      <w:w w:val="80"/>
                      <w:sz w:val="19"/>
                    </w:rPr>
                    <w:t xml:space="preserve"> </w:t>
                  </w:r>
                  <w:r w:rsidRPr="00FB1851">
                    <w:rPr>
                      <w:w w:val="80"/>
                      <w:sz w:val="19"/>
                    </w:rPr>
                    <w:t>2</w:t>
                  </w:r>
                  <w:r w:rsidRPr="00FB1851">
                    <w:rPr>
                      <w:spacing w:val="-4"/>
                      <w:w w:val="80"/>
                      <w:sz w:val="19"/>
                    </w:rPr>
                    <w:t xml:space="preserve"> </w:t>
                  </w:r>
                  <w:r w:rsidRPr="00FB1851">
                    <w:rPr>
                      <w:w w:val="80"/>
                      <w:sz w:val="19"/>
                    </w:rPr>
                    <w:t>295</w:t>
                  </w:r>
                  <w:r w:rsidRPr="00FB1851">
                    <w:rPr>
                      <w:spacing w:val="-3"/>
                      <w:w w:val="80"/>
                      <w:sz w:val="19"/>
                    </w:rPr>
                    <w:t xml:space="preserve"> </w:t>
                  </w:r>
                  <w:r w:rsidRPr="00FB1851">
                    <w:rPr>
                      <w:w w:val="80"/>
                      <w:sz w:val="19"/>
                    </w:rPr>
                    <w:t>43</w:t>
                  </w:r>
                  <w:r w:rsidRPr="00FB1851">
                    <w:rPr>
                      <w:spacing w:val="-3"/>
                      <w:w w:val="80"/>
                      <w:sz w:val="19"/>
                    </w:rPr>
                    <w:t xml:space="preserve"> </w:t>
                  </w:r>
                  <w:r w:rsidRPr="00FB1851">
                    <w:rPr>
                      <w:spacing w:val="-5"/>
                      <w:w w:val="80"/>
                      <w:sz w:val="19"/>
                    </w:rPr>
                    <w:t>20)</w:t>
                  </w:r>
                </w:p>
                <w:p w14:paraId="36FDE075" w14:textId="77777777" w:rsidR="00194186" w:rsidRDefault="00194186" w:rsidP="00194186">
                  <w:pPr>
                    <w:spacing w:line="211" w:lineRule="exact"/>
                    <w:ind w:left="564"/>
                    <w:rPr>
                      <w:spacing w:val="-5"/>
                      <w:w w:val="80"/>
                      <w:sz w:val="19"/>
                    </w:rPr>
                  </w:pPr>
                  <w:hyperlink r:id="rId13">
                    <w:proofErr w:type="spellStart"/>
                    <w:r w:rsidRPr="00FB1851">
                      <w:rPr>
                        <w:color w:val="0000ED"/>
                        <w:w w:val="80"/>
                        <w:sz w:val="19"/>
                        <w:u w:val="single" w:color="0000ED"/>
                      </w:rPr>
                      <w:t>Zoï</w:t>
                    </w:r>
                    <w:proofErr w:type="spellEnd"/>
                    <w:r w:rsidRPr="00FB1851">
                      <w:rPr>
                        <w:color w:val="0000ED"/>
                        <w:spacing w:val="-13"/>
                        <w:sz w:val="19"/>
                        <w:u w:val="single" w:color="0000ED"/>
                      </w:rPr>
                      <w:t xml:space="preserve"> </w:t>
                    </w:r>
                    <w:r w:rsidRPr="00FB1851">
                      <w:rPr>
                        <w:color w:val="0000ED"/>
                        <w:w w:val="80"/>
                        <w:sz w:val="19"/>
                        <w:u w:val="single" w:color="0000ED"/>
                      </w:rPr>
                      <w:t>MULETIER</w:t>
                    </w:r>
                  </w:hyperlink>
                  <w:r w:rsidRPr="00FB1851">
                    <w:rPr>
                      <w:color w:val="0000ED"/>
                      <w:spacing w:val="-6"/>
                      <w:w w:val="80"/>
                      <w:sz w:val="19"/>
                    </w:rPr>
                    <w:t xml:space="preserve"> </w:t>
                  </w:r>
                  <w:r w:rsidRPr="00FB1851">
                    <w:rPr>
                      <w:w w:val="80"/>
                      <w:sz w:val="19"/>
                    </w:rPr>
                    <w:t>(+32</w:t>
                  </w:r>
                  <w:r w:rsidRPr="00FB1851">
                    <w:rPr>
                      <w:spacing w:val="-10"/>
                      <w:sz w:val="19"/>
                    </w:rPr>
                    <w:t xml:space="preserve"> </w:t>
                  </w:r>
                  <w:r w:rsidRPr="00FB1851">
                    <w:rPr>
                      <w:w w:val="80"/>
                      <w:sz w:val="19"/>
                    </w:rPr>
                    <w:t>2</w:t>
                  </w:r>
                  <w:r w:rsidRPr="00FB1851">
                    <w:rPr>
                      <w:spacing w:val="-10"/>
                      <w:sz w:val="19"/>
                    </w:rPr>
                    <w:t xml:space="preserve"> </w:t>
                  </w:r>
                  <w:r w:rsidRPr="00FB1851">
                    <w:rPr>
                      <w:w w:val="80"/>
                      <w:sz w:val="19"/>
                    </w:rPr>
                    <w:t>299</w:t>
                  </w:r>
                  <w:r w:rsidRPr="00FB1851">
                    <w:rPr>
                      <w:spacing w:val="-10"/>
                      <w:sz w:val="19"/>
                    </w:rPr>
                    <w:t xml:space="preserve"> </w:t>
                  </w:r>
                  <w:r w:rsidRPr="00FB1851">
                    <w:rPr>
                      <w:w w:val="80"/>
                      <w:sz w:val="19"/>
                    </w:rPr>
                    <w:t>43</w:t>
                  </w:r>
                  <w:r w:rsidRPr="00FB1851">
                    <w:rPr>
                      <w:spacing w:val="-10"/>
                      <w:sz w:val="19"/>
                    </w:rPr>
                    <w:t xml:space="preserve"> </w:t>
                  </w:r>
                  <w:r w:rsidRPr="00FB1851">
                    <w:rPr>
                      <w:spacing w:val="-5"/>
                      <w:w w:val="80"/>
                      <w:sz w:val="19"/>
                    </w:rPr>
                    <w:t>06)</w:t>
                  </w:r>
                </w:p>
                <w:p w14:paraId="4498BBC0" w14:textId="5CFDE5DA" w:rsidR="00194186" w:rsidRPr="00FB1851" w:rsidRDefault="00FB1851" w:rsidP="00194186">
                  <w:pPr>
                    <w:spacing w:before="57"/>
                    <w:ind w:left="84"/>
                    <w:rPr>
                      <w:sz w:val="19"/>
                    </w:rPr>
                  </w:pPr>
                  <w:r w:rsidRPr="00FB1851">
                    <w:rPr>
                      <w:spacing w:val="-6"/>
                      <w:sz w:val="19"/>
                    </w:rPr>
                    <w:t xml:space="preserve">Справки для широкой общественности: </w:t>
                  </w:r>
                  <w:r w:rsidR="00194186" w:rsidRPr="00FB1851">
                    <w:rPr>
                      <w:spacing w:val="-6"/>
                      <w:sz w:val="19"/>
                    </w:rPr>
                    <w:t xml:space="preserve"> </w:t>
                  </w:r>
                  <w:hyperlink r:id="rId14">
                    <w:r w:rsidR="00194186" w:rsidRPr="00FB1851">
                      <w:rPr>
                        <w:color w:val="0000ED"/>
                        <w:w w:val="80"/>
                        <w:sz w:val="19"/>
                        <w:u w:val="single" w:color="0000ED"/>
                      </w:rPr>
                      <w:t>Europe</w:t>
                    </w:r>
                    <w:r w:rsidR="00194186" w:rsidRPr="00FB1851">
                      <w:rPr>
                        <w:color w:val="0000ED"/>
                        <w:spacing w:val="-5"/>
                        <w:sz w:val="19"/>
                        <w:u w:val="single" w:color="0000ED"/>
                      </w:rPr>
                      <w:t xml:space="preserve"> </w:t>
                    </w:r>
                    <w:r w:rsidR="00194186" w:rsidRPr="00FB1851">
                      <w:rPr>
                        <w:color w:val="0000ED"/>
                        <w:w w:val="80"/>
                        <w:sz w:val="19"/>
                        <w:u w:val="single" w:color="0000ED"/>
                      </w:rPr>
                      <w:t>Direct</w:t>
                    </w:r>
                  </w:hyperlink>
                  <w:r w:rsidR="00194186" w:rsidRPr="00FB1851">
                    <w:rPr>
                      <w:color w:val="0000ED"/>
                      <w:spacing w:val="3"/>
                      <w:sz w:val="19"/>
                    </w:rPr>
                    <w:t xml:space="preserve"> </w:t>
                  </w:r>
                  <w:r w:rsidRPr="00FB1851">
                    <w:rPr>
                      <w:spacing w:val="-6"/>
                      <w:sz w:val="19"/>
                    </w:rPr>
                    <w:t>по телефону</w:t>
                  </w:r>
                  <w:r w:rsidR="00194186" w:rsidRPr="00FB1851">
                    <w:rPr>
                      <w:spacing w:val="-4"/>
                      <w:sz w:val="19"/>
                    </w:rPr>
                    <w:t xml:space="preserve"> </w:t>
                  </w:r>
                  <w:hyperlink r:id="rId15">
                    <w:r w:rsidR="00194186" w:rsidRPr="00FB1851">
                      <w:rPr>
                        <w:color w:val="0000ED"/>
                        <w:w w:val="80"/>
                        <w:sz w:val="19"/>
                        <w:u w:val="single" w:color="0000ED"/>
                      </w:rPr>
                      <w:t>00</w:t>
                    </w:r>
                    <w:r w:rsidR="00194186" w:rsidRPr="00FB1851">
                      <w:rPr>
                        <w:color w:val="0000ED"/>
                        <w:spacing w:val="-12"/>
                        <w:sz w:val="19"/>
                        <w:u w:val="single" w:color="0000ED"/>
                      </w:rPr>
                      <w:t xml:space="preserve"> </w:t>
                    </w:r>
                    <w:r w:rsidR="00194186" w:rsidRPr="00FB1851">
                      <w:rPr>
                        <w:color w:val="0000ED"/>
                        <w:w w:val="80"/>
                        <w:sz w:val="19"/>
                        <w:u w:val="single" w:color="0000ED"/>
                      </w:rPr>
                      <w:t>800</w:t>
                    </w:r>
                    <w:r w:rsidR="00194186" w:rsidRPr="00FB1851">
                      <w:rPr>
                        <w:color w:val="0000ED"/>
                        <w:spacing w:val="-11"/>
                        <w:sz w:val="19"/>
                        <w:u w:val="single" w:color="0000ED"/>
                      </w:rPr>
                      <w:t xml:space="preserve"> </w:t>
                    </w:r>
                    <w:r w:rsidR="00194186" w:rsidRPr="00FB1851">
                      <w:rPr>
                        <w:color w:val="0000ED"/>
                        <w:w w:val="80"/>
                        <w:sz w:val="19"/>
                        <w:u w:val="single" w:color="0000ED"/>
                      </w:rPr>
                      <w:t>67</w:t>
                    </w:r>
                    <w:r w:rsidR="00194186" w:rsidRPr="00FB1851">
                      <w:rPr>
                        <w:color w:val="0000ED"/>
                        <w:spacing w:val="-12"/>
                        <w:sz w:val="19"/>
                        <w:u w:val="single" w:color="0000ED"/>
                      </w:rPr>
                      <w:t xml:space="preserve"> </w:t>
                    </w:r>
                    <w:r w:rsidR="00194186" w:rsidRPr="00FB1851">
                      <w:rPr>
                        <w:color w:val="0000ED"/>
                        <w:w w:val="80"/>
                        <w:sz w:val="19"/>
                        <w:u w:val="single" w:color="0000ED"/>
                      </w:rPr>
                      <w:t>89</w:t>
                    </w:r>
                    <w:r w:rsidR="00194186" w:rsidRPr="00FB1851">
                      <w:rPr>
                        <w:color w:val="0000ED"/>
                        <w:spacing w:val="-11"/>
                        <w:sz w:val="19"/>
                        <w:u w:val="single" w:color="0000ED"/>
                      </w:rPr>
                      <w:t xml:space="preserve"> </w:t>
                    </w:r>
                    <w:r w:rsidR="00194186" w:rsidRPr="00FB1851">
                      <w:rPr>
                        <w:color w:val="0000ED"/>
                        <w:w w:val="80"/>
                        <w:sz w:val="19"/>
                        <w:u w:val="single" w:color="0000ED"/>
                      </w:rPr>
                      <w:t>10</w:t>
                    </w:r>
                    <w:r w:rsidR="00194186" w:rsidRPr="00FB1851">
                      <w:rPr>
                        <w:color w:val="0000ED"/>
                        <w:spacing w:val="-12"/>
                        <w:sz w:val="19"/>
                        <w:u w:val="single" w:color="0000ED"/>
                      </w:rPr>
                      <w:t xml:space="preserve"> </w:t>
                    </w:r>
                    <w:r w:rsidR="00194186" w:rsidRPr="00FB1851">
                      <w:rPr>
                        <w:color w:val="0000ED"/>
                        <w:w w:val="80"/>
                        <w:sz w:val="19"/>
                        <w:u w:val="single" w:color="0000ED"/>
                      </w:rPr>
                      <w:t>11</w:t>
                    </w:r>
                  </w:hyperlink>
                  <w:r w:rsidR="00194186" w:rsidRPr="00FB1851">
                    <w:rPr>
                      <w:color w:val="0000ED"/>
                      <w:spacing w:val="-11"/>
                      <w:sz w:val="19"/>
                    </w:rPr>
                    <w:t xml:space="preserve"> </w:t>
                  </w:r>
                  <w:r w:rsidRPr="00FB1851">
                    <w:rPr>
                      <w:w w:val="80"/>
                      <w:sz w:val="19"/>
                    </w:rPr>
                    <w:t>или по</w:t>
                  </w:r>
                  <w:r w:rsidR="00194186" w:rsidRPr="00FB1851">
                    <w:rPr>
                      <w:spacing w:val="-4"/>
                      <w:sz w:val="19"/>
                    </w:rPr>
                    <w:t xml:space="preserve"> </w:t>
                  </w:r>
                  <w:hyperlink r:id="rId16">
                    <w:r w:rsidRPr="00FB1851">
                      <w:rPr>
                        <w:color w:val="0000ED"/>
                        <w:spacing w:val="-4"/>
                        <w:w w:val="80"/>
                        <w:sz w:val="19"/>
                        <w:u w:val="single" w:color="0000ED"/>
                      </w:rPr>
                      <w:t>электронной почте</w:t>
                    </w:r>
                  </w:hyperlink>
                </w:p>
              </w:txbxContent>
            </v:textbox>
            <w10:wrap type="topAndBottom" anchorx="page"/>
          </v:shape>
        </w:pict>
      </w:r>
      <w:hyperlink r:id="rId17" w:history="1">
        <w:r w:rsidR="00D11D45" w:rsidRPr="00D04B7B">
          <w:rPr>
            <w:rStyle w:val="Hyperlink"/>
            <w:lang w:val="ru-RU"/>
          </w:rPr>
          <w:t xml:space="preserve">Moldova_2023 </w:t>
        </w:r>
        <w:proofErr w:type="spellStart"/>
        <w:r w:rsidR="00D11D45" w:rsidRPr="00D04B7B">
          <w:rPr>
            <w:rStyle w:val="Hyperlink"/>
            <w:lang w:val="ru-RU"/>
          </w:rPr>
          <w:t>Enlargement</w:t>
        </w:r>
        <w:proofErr w:type="spellEnd"/>
        <w:r w:rsidR="00D11D45" w:rsidRPr="00D04B7B">
          <w:rPr>
            <w:rStyle w:val="Hyperlink"/>
            <w:lang w:val="ru-RU"/>
          </w:rPr>
          <w:t xml:space="preserve"> </w:t>
        </w:r>
        <w:proofErr w:type="spellStart"/>
        <w:r w:rsidR="00D11D45" w:rsidRPr="00D04B7B">
          <w:rPr>
            <w:rStyle w:val="Hyperlink"/>
            <w:lang w:val="ru-RU"/>
          </w:rPr>
          <w:t>Package</w:t>
        </w:r>
        <w:proofErr w:type="spellEnd"/>
        <w:r w:rsidR="00D11D45" w:rsidRPr="00D04B7B">
          <w:rPr>
            <w:rStyle w:val="Hyperlink"/>
            <w:lang w:val="ru-RU"/>
          </w:rPr>
          <w:t xml:space="preserve"> </w:t>
        </w:r>
        <w:proofErr w:type="spellStart"/>
        <w:r w:rsidR="00D11D45" w:rsidRPr="00D04B7B">
          <w:rPr>
            <w:rStyle w:val="Hyperlink"/>
            <w:lang w:val="ru-RU"/>
          </w:rPr>
          <w:t>Factsheet</w:t>
        </w:r>
        <w:proofErr w:type="spellEnd"/>
      </w:hyperlink>
    </w:p>
    <w:p w14:paraId="20C294DB" w14:textId="449310F2" w:rsidR="00D11D45" w:rsidRPr="008F4AEA" w:rsidRDefault="00D11D45" w:rsidP="00FB1851">
      <w:pPr>
        <w:pStyle w:val="BodyText"/>
        <w:spacing w:beforeLines="142" w:before="340" w:line="197" w:lineRule="auto"/>
        <w:ind w:right="221"/>
        <w:jc w:val="both"/>
        <w:rPr>
          <w:lang w:val="ru-RU"/>
        </w:rPr>
      </w:pPr>
    </w:p>
    <w:sectPr w:rsidR="00D11D45" w:rsidRPr="008F4AEA" w:rsidSect="00B52147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294DE" w14:textId="77777777" w:rsidR="00270823" w:rsidRDefault="00270823" w:rsidP="001F7B68">
      <w:pPr>
        <w:spacing w:after="0" w:line="240" w:lineRule="auto"/>
      </w:pPr>
      <w:r>
        <w:separator/>
      </w:r>
    </w:p>
  </w:endnote>
  <w:endnote w:type="continuationSeparator" w:id="0">
    <w:p w14:paraId="20C294DF" w14:textId="77777777" w:rsidR="00270823" w:rsidRDefault="00270823" w:rsidP="001F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645282"/>
      <w:docPartObj>
        <w:docPartGallery w:val="Page Numbers (Bottom of Page)"/>
        <w:docPartUnique/>
      </w:docPartObj>
    </w:sdtPr>
    <w:sdtEndPr/>
    <w:sdtContent>
      <w:p w14:paraId="20C294E0" w14:textId="77777777" w:rsidR="001F7B68" w:rsidRDefault="00025B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81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0C294E1" w14:textId="77777777" w:rsidR="001F7B68" w:rsidRDefault="001F7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294DC" w14:textId="77777777" w:rsidR="00270823" w:rsidRDefault="00270823" w:rsidP="001F7B68">
      <w:pPr>
        <w:spacing w:after="0" w:line="240" w:lineRule="auto"/>
      </w:pPr>
      <w:r>
        <w:separator/>
      </w:r>
    </w:p>
  </w:footnote>
  <w:footnote w:type="continuationSeparator" w:id="0">
    <w:p w14:paraId="20C294DD" w14:textId="77777777" w:rsidR="00270823" w:rsidRDefault="00270823" w:rsidP="001F7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B68"/>
    <w:rsid w:val="00025B5D"/>
    <w:rsid w:val="00036219"/>
    <w:rsid w:val="000D1599"/>
    <w:rsid w:val="001530E3"/>
    <w:rsid w:val="00153A39"/>
    <w:rsid w:val="00194186"/>
    <w:rsid w:val="001C7CD4"/>
    <w:rsid w:val="001F7B68"/>
    <w:rsid w:val="00270823"/>
    <w:rsid w:val="002762AC"/>
    <w:rsid w:val="002E42FA"/>
    <w:rsid w:val="003258EA"/>
    <w:rsid w:val="00326EA5"/>
    <w:rsid w:val="003277B7"/>
    <w:rsid w:val="0042763B"/>
    <w:rsid w:val="00440E95"/>
    <w:rsid w:val="004421AF"/>
    <w:rsid w:val="00491659"/>
    <w:rsid w:val="00491C42"/>
    <w:rsid w:val="004A5E9F"/>
    <w:rsid w:val="00541542"/>
    <w:rsid w:val="00544861"/>
    <w:rsid w:val="005F10CD"/>
    <w:rsid w:val="0069060E"/>
    <w:rsid w:val="007572A4"/>
    <w:rsid w:val="00762950"/>
    <w:rsid w:val="007E20BB"/>
    <w:rsid w:val="00867810"/>
    <w:rsid w:val="00882DB9"/>
    <w:rsid w:val="00890A3B"/>
    <w:rsid w:val="008B610E"/>
    <w:rsid w:val="008F4AEA"/>
    <w:rsid w:val="009F3BC8"/>
    <w:rsid w:val="00A27D6B"/>
    <w:rsid w:val="00AA10F6"/>
    <w:rsid w:val="00B35CA2"/>
    <w:rsid w:val="00B52147"/>
    <w:rsid w:val="00B77AC2"/>
    <w:rsid w:val="00BE4610"/>
    <w:rsid w:val="00C349F1"/>
    <w:rsid w:val="00C562E9"/>
    <w:rsid w:val="00C70088"/>
    <w:rsid w:val="00CF2426"/>
    <w:rsid w:val="00D03A23"/>
    <w:rsid w:val="00D04B7B"/>
    <w:rsid w:val="00D11D45"/>
    <w:rsid w:val="00D8377D"/>
    <w:rsid w:val="00DC148B"/>
    <w:rsid w:val="00DF0126"/>
    <w:rsid w:val="00E171E7"/>
    <w:rsid w:val="00E75ACC"/>
    <w:rsid w:val="00EC536D"/>
    <w:rsid w:val="00F62A11"/>
    <w:rsid w:val="00FB1851"/>
    <w:rsid w:val="00F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C294B5"/>
  <w15:docId w15:val="{74D9C447-A7F3-44B5-BCED-285EF3C9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F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7B68"/>
  </w:style>
  <w:style w:type="paragraph" w:styleId="Footer">
    <w:name w:val="footer"/>
    <w:basedOn w:val="Normal"/>
    <w:link w:val="FooterChar"/>
    <w:uiPriority w:val="99"/>
    <w:unhideWhenUsed/>
    <w:rsid w:val="001F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B68"/>
  </w:style>
  <w:style w:type="paragraph" w:styleId="Title">
    <w:name w:val="Title"/>
    <w:basedOn w:val="Normal"/>
    <w:link w:val="TitleChar"/>
    <w:uiPriority w:val="10"/>
    <w:qFormat/>
    <w:rsid w:val="00BE4610"/>
    <w:pPr>
      <w:widowControl w:val="0"/>
      <w:autoSpaceDE w:val="0"/>
      <w:autoSpaceDN w:val="0"/>
      <w:spacing w:before="34" w:after="0" w:line="240" w:lineRule="auto"/>
      <w:ind w:left="106"/>
    </w:pPr>
    <w:rPr>
      <w:rFonts w:ascii="Verdana" w:eastAsia="Verdana" w:hAnsi="Verdana" w:cs="Verdana"/>
      <w:b/>
      <w:bCs/>
      <w:sz w:val="30"/>
      <w:szCs w:val="3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E4610"/>
    <w:rPr>
      <w:rFonts w:ascii="Verdana" w:eastAsia="Verdana" w:hAnsi="Verdana" w:cs="Verdana"/>
      <w:b/>
      <w:bCs/>
      <w:sz w:val="30"/>
      <w:szCs w:val="3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572A4"/>
    <w:pPr>
      <w:widowControl w:val="0"/>
      <w:autoSpaceDE w:val="0"/>
      <w:autoSpaceDN w:val="0"/>
      <w:spacing w:after="0" w:line="240" w:lineRule="auto"/>
      <w:ind w:left="106"/>
    </w:pPr>
    <w:rPr>
      <w:rFonts w:ascii="Verdana" w:eastAsia="Verdana" w:hAnsi="Verdana" w:cs="Verdan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572A4"/>
    <w:rPr>
      <w:rFonts w:ascii="Verdana" w:eastAsia="Verdana" w:hAnsi="Verdana" w:cs="Verdan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26E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neighbourhood-enlargement/opinion-moldovas-application-membership-european-union_en" TargetMode="External"/><Relationship Id="rId13" Type="http://schemas.openxmlformats.org/officeDocument/2006/relationships/hyperlink" Target="mailto:Zoi.MULETIER@ec.europa.eu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ana.pisonero-hernandez@ec.europa.eu" TargetMode="External"/><Relationship Id="rId17" Type="http://schemas.openxmlformats.org/officeDocument/2006/relationships/hyperlink" Target="Moldova_2023%20Pachetul%20de%20extindere%20Fi&#537;a%20informativ&#259;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uropa.eu/contact/write-to-us/index_en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neighbourhood-enlargement.ec.europa.eu/2023-communication-eu-enlargement-policy_e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europa.eu/contact/call-us/index_en.htm" TargetMode="External"/><Relationship Id="rId10" Type="http://schemas.openxmlformats.org/officeDocument/2006/relationships/hyperlink" Target="https://neighbourhood-enlargement.ec.europa.eu/moldova-report-2023_en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onsilium.europa.eu/en/press/press-releases/2022/06/23/european-council-conclusions-on-ukraine-the-membership-applications-of-ukraine-the-republic-of-moldova-and-georgia-western-balkans-and-external-relations-23-june-2022/" TargetMode="External"/><Relationship Id="rId14" Type="http://schemas.openxmlformats.org/officeDocument/2006/relationships/hyperlink" Target="http://europa.eu/conta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3361</Words>
  <Characters>19159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svetlana.cuzmina</dc:creator>
  <cp:keywords/>
  <dc:description/>
  <cp:lastModifiedBy>JAPALAU Ianina</cp:lastModifiedBy>
  <cp:revision>48</cp:revision>
  <dcterms:created xsi:type="dcterms:W3CDTF">2023-11-08T12:50:00Z</dcterms:created>
  <dcterms:modified xsi:type="dcterms:W3CDTF">2023-11-09T04:36:00Z</dcterms:modified>
</cp:coreProperties>
</file>